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D60A" w14:textId="77777777" w:rsidR="007D619A" w:rsidRPr="007D619A" w:rsidRDefault="007D619A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</w:p>
    <w:p w14:paraId="64025650" w14:textId="0F33CE93" w:rsidR="009B1101" w:rsidRDefault="00F6433D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ОДОБРЯВАМ,         </w:t>
      </w:r>
      <w:r w:rsidR="00371C8F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(П)</w:t>
      </w:r>
      <w:bookmarkStart w:id="0" w:name="_GoBack"/>
      <w:bookmarkEnd w:id="0"/>
    </w:p>
    <w:p w14:paraId="21D5CCB8" w14:textId="48B6211D" w:rsidR="00F6433D" w:rsidRPr="007D619A" w:rsidRDefault="00F6433D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ab/>
      </w:r>
    </w:p>
    <w:p w14:paraId="221B73DB" w14:textId="69FACF7C" w:rsidR="00F6433D" w:rsidRPr="007D619A" w:rsidRDefault="00F6433D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ГЕОРГИ димитров МИЛЧИН</w:t>
      </w:r>
    </w:p>
    <w:p w14:paraId="12385734" w14:textId="55F6C0FB" w:rsidR="00F6433D" w:rsidRPr="007D619A" w:rsidRDefault="00F6433D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>главен секретар на иа гит</w:t>
      </w:r>
    </w:p>
    <w:p w14:paraId="167613AD" w14:textId="1EBA0557" w:rsidR="00F6433D" w:rsidRPr="007D619A" w:rsidRDefault="00F6433D" w:rsidP="00265CFF">
      <w:pPr>
        <w:shd w:val="clear" w:color="auto" w:fill="FFFFFF"/>
        <w:spacing w:after="0" w:line="240" w:lineRule="auto"/>
        <w:ind w:left="4678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  <w:r w:rsidR="00265CFF"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 xml:space="preserve"> </w:t>
      </w: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>(възложител съгл. Заповед № 3-0682/11.07.2016 г.)</w:t>
      </w:r>
    </w:p>
    <w:p w14:paraId="4ADD86A6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2F836DFD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49F0FF89" w14:textId="77777777" w:rsidR="00976781" w:rsidRPr="007D619A" w:rsidRDefault="00976781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70FBC382" w14:textId="77777777" w:rsidR="009014B4" w:rsidRPr="007D619A" w:rsidRDefault="009014B4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0588579A" w14:textId="77777777" w:rsidR="009014B4" w:rsidRPr="007D619A" w:rsidRDefault="009014B4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601F5B06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2DF3E666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00DA9C25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b/>
          <w:caps/>
          <w:color w:val="000000"/>
          <w:sz w:val="20"/>
          <w:szCs w:val="20"/>
          <w:lang w:val="bg-BG" w:eastAsia="bg-BG"/>
        </w:rPr>
        <w:t xml:space="preserve"> ДОКУМЕНТАЦИЯ</w:t>
      </w:r>
    </w:p>
    <w:p w14:paraId="5DA4D6AF" w14:textId="77777777" w:rsidR="00F6433D" w:rsidRPr="007D619A" w:rsidRDefault="00F6433D" w:rsidP="00F6433D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2CD99FA8" w14:textId="73DA6C84" w:rsidR="00F6433D" w:rsidRPr="007D619A" w:rsidRDefault="00F6433D" w:rsidP="00265CFF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>ЗА УЧАСТИЕ ЗА ВЪЗЛАГАНЕ НА ОБЩЕСТВЕНА ПОРЪЧКА С ПРЕДМЕТ:</w:t>
      </w:r>
    </w:p>
    <w:p w14:paraId="4621F6F3" w14:textId="3D357516" w:rsidR="00F6433D" w:rsidRPr="007D619A" w:rsidRDefault="00577DD2" w:rsidP="00577DD2">
      <w:pPr>
        <w:shd w:val="clear" w:color="auto" w:fill="FFFFFF"/>
        <w:spacing w:after="0" w:line="240" w:lineRule="auto"/>
        <w:jc w:val="center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577DD2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„Закупуване на лицензи необходими за изпълнение </w:t>
      </w:r>
      <w:r w:rsidR="005B4B64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 xml:space="preserve">на </w:t>
      </w:r>
      <w:r w:rsidRPr="00577DD2">
        <w:rPr>
          <w:rFonts w:ascii="Verdana" w:eastAsia="Arial Unicode MS" w:hAnsi="Verdana" w:cs="Times New Roman"/>
          <w:b/>
          <w:color w:val="000000"/>
          <w:sz w:val="20"/>
          <w:szCs w:val="20"/>
          <w:lang w:val="bg-BG" w:eastAsia="bg-BG"/>
        </w:rPr>
        <w:t>дейностите по проект BG05M9OP001-3.004 „Оптимизация и иновации в ИА ГИТ““</w:t>
      </w:r>
    </w:p>
    <w:p w14:paraId="200B9322" w14:textId="77777777" w:rsidR="00F6433D" w:rsidRPr="007D619A" w:rsidRDefault="00F6433D" w:rsidP="00F6433D">
      <w:pPr>
        <w:shd w:val="clear" w:color="auto" w:fill="FFFFFF"/>
        <w:spacing w:after="0" w:line="240" w:lineRule="auto"/>
        <w:jc w:val="right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7718446F" w14:textId="77777777" w:rsidR="00F6433D" w:rsidRPr="007D619A" w:rsidRDefault="00F6433D" w:rsidP="00F6433D">
      <w:pPr>
        <w:shd w:val="clear" w:color="auto" w:fill="FFFFFF"/>
        <w:spacing w:after="0" w:line="240" w:lineRule="auto"/>
        <w:jc w:val="right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</w:p>
    <w:p w14:paraId="7906424B" w14:textId="77777777" w:rsidR="00F6433D" w:rsidRPr="007D619A" w:rsidRDefault="00F6433D" w:rsidP="00F6433D">
      <w:pPr>
        <w:shd w:val="clear" w:color="auto" w:fill="FFFFFF"/>
        <w:tabs>
          <w:tab w:val="left" w:pos="2910"/>
        </w:tabs>
        <w:spacing w:after="0" w:line="240" w:lineRule="auto"/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</w:pPr>
      <w:r w:rsidRPr="007D619A">
        <w:rPr>
          <w:rFonts w:ascii="Verdana" w:eastAsia="Arial Unicode MS" w:hAnsi="Verdana" w:cs="Times New Roman"/>
          <w:caps/>
          <w:color w:val="000000"/>
          <w:sz w:val="20"/>
          <w:szCs w:val="20"/>
          <w:lang w:val="bg-BG" w:eastAsia="bg-BG"/>
        </w:rPr>
        <w:tab/>
      </w:r>
    </w:p>
    <w:p w14:paraId="002A2DB6" w14:textId="77777777" w:rsidR="00F6433D" w:rsidRPr="007D619A" w:rsidRDefault="00F6433D" w:rsidP="00F6433D">
      <w:pPr>
        <w:spacing w:after="0" w:line="240" w:lineRule="auto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6D285956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3FF81741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2BA0E6C4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6C1B1FC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FD60702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30D7B83C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EC3ADD6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13F0D4FE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1927DD7B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29687CEB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288D16EB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47B4FD27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05609B76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6638AC9F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274336CA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899B3DB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1B95B58C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43F374E6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6DD86296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214AF5D4" w14:textId="77777777" w:rsidR="00F6433D" w:rsidRPr="007D619A" w:rsidRDefault="00F6433D" w:rsidP="00F6433D">
      <w:pPr>
        <w:spacing w:after="0" w:line="240" w:lineRule="auto"/>
        <w:jc w:val="center"/>
        <w:rPr>
          <w:rFonts w:ascii="Verdana" w:eastAsia="Arial Unicode MS" w:hAnsi="Verdana" w:cs="Times New Roman"/>
          <w:color w:val="000000"/>
          <w:sz w:val="20"/>
          <w:szCs w:val="20"/>
          <w:lang w:val="bg-BG" w:eastAsia="bg-BG"/>
        </w:rPr>
      </w:pPr>
    </w:p>
    <w:p w14:paraId="51CB93EC" w14:textId="77777777" w:rsidR="007D619A" w:rsidRPr="007D619A" w:rsidRDefault="007D619A" w:rsidP="007D619A">
      <w:pPr>
        <w:rPr>
          <w:rFonts w:ascii="Verdana" w:hAnsi="Verdana"/>
          <w:sz w:val="20"/>
          <w:szCs w:val="20"/>
          <w:lang w:val="bg-BG"/>
        </w:rPr>
      </w:pPr>
    </w:p>
    <w:p w14:paraId="6403D306" w14:textId="44917FF2" w:rsidR="007D619A" w:rsidRPr="007D619A" w:rsidRDefault="007D619A" w:rsidP="007D619A">
      <w:pPr>
        <w:jc w:val="center"/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  <w:t>СОФИЯ 201</w:t>
      </w:r>
      <w:r w:rsidR="00577DD2"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  <w:t>7</w:t>
      </w:r>
    </w:p>
    <w:p w14:paraId="01C38B83" w14:textId="77777777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u w:val="single"/>
          <w:lang w:val="bg-BG"/>
        </w:rPr>
      </w:pPr>
    </w:p>
    <w:p w14:paraId="45CBDD82" w14:textId="77777777" w:rsidR="007D619A" w:rsidRPr="007D619A" w:rsidRDefault="007D619A" w:rsidP="007D619A">
      <w:pPr>
        <w:jc w:val="center"/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lastRenderedPageBreak/>
        <w:t>СЪДЪРЖАНИЕ</w:t>
      </w:r>
    </w:p>
    <w:p w14:paraId="38FD918E" w14:textId="2B279573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I. ОСНОВНИ ПОЛОЖЕНИЯ</w:t>
      </w: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ab/>
      </w:r>
    </w:p>
    <w:p w14:paraId="72C5D072" w14:textId="7F3F36FD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II. КРИТЕРИЙ ЗА ВЪЗЛАГАНЕ НА ПОРЪЧКАТА</w:t>
      </w:r>
    </w:p>
    <w:p w14:paraId="29DA99C8" w14:textId="65A99649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III. ИЗИСКВАНИЯ КЪМ УЧАСТНИЦИТЕ В ПРОЦЕДУРАТА</w:t>
      </w:r>
    </w:p>
    <w:p w14:paraId="424A4494" w14:textId="5BBB58F4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IV. КРИТЕРИИ ЗА ПОДБОР</w:t>
      </w:r>
    </w:p>
    <w:p w14:paraId="3635C113" w14:textId="5317D53D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V. ПОДГОТОВКА И СЪДЪРЖАНИЕ НА ОФЕРТИТЕ</w:t>
      </w:r>
    </w:p>
    <w:p w14:paraId="473CD18A" w14:textId="779E2A32" w:rsidR="007D619A" w:rsidRPr="007D619A" w:rsidRDefault="007D619A" w:rsidP="007D619A">
      <w:pPr>
        <w:rPr>
          <w:rFonts w:ascii="Verdana" w:eastAsiaTheme="majorEastAsia" w:hAnsi="Verdana" w:cs="Times New Roman"/>
          <w:b/>
          <w:sz w:val="20"/>
          <w:szCs w:val="20"/>
          <w:lang w:val="bg-BG"/>
        </w:rPr>
      </w:pPr>
      <w:r w:rsidRPr="007D619A">
        <w:rPr>
          <w:rFonts w:ascii="Verdana" w:eastAsiaTheme="majorEastAsia" w:hAnsi="Verdana" w:cs="Times New Roman"/>
          <w:b/>
          <w:sz w:val="20"/>
          <w:szCs w:val="20"/>
          <w:lang w:val="bg-BG"/>
        </w:rPr>
        <w:t>VI. ПРЕДСТАВЯНЕ НА ОФЕРТИТЕ</w:t>
      </w:r>
    </w:p>
    <w:p w14:paraId="538063D9" w14:textId="266DF95B" w:rsidR="007D619A" w:rsidRPr="007D619A" w:rsidRDefault="007D619A" w:rsidP="007D619A">
      <w:pPr>
        <w:rPr>
          <w:rFonts w:ascii="Verdana" w:hAnsi="Verdana"/>
          <w:sz w:val="20"/>
          <w:szCs w:val="20"/>
          <w:lang w:val="bg-BG"/>
        </w:rPr>
      </w:pPr>
    </w:p>
    <w:p w14:paraId="7F835E82" w14:textId="77777777" w:rsidR="007D619A" w:rsidRPr="007D619A" w:rsidRDefault="007D619A" w:rsidP="007D619A">
      <w:pPr>
        <w:rPr>
          <w:rFonts w:ascii="Verdana" w:hAnsi="Verdana"/>
          <w:sz w:val="20"/>
          <w:szCs w:val="20"/>
          <w:lang w:val="bg-BG"/>
        </w:rPr>
      </w:pPr>
      <w:r w:rsidRPr="007D619A">
        <w:rPr>
          <w:rFonts w:ascii="Verdana" w:hAnsi="Verdana"/>
          <w:sz w:val="20"/>
          <w:szCs w:val="20"/>
          <w:lang w:val="bg-BG"/>
        </w:rPr>
        <w:br w:type="page"/>
      </w:r>
    </w:p>
    <w:p w14:paraId="6601AEFC" w14:textId="77777777" w:rsidR="007D619A" w:rsidRPr="007D619A" w:rsidRDefault="007D619A" w:rsidP="007D619A">
      <w:pPr>
        <w:pStyle w:val="a3"/>
        <w:numPr>
          <w:ilvl w:val="0"/>
          <w:numId w:val="26"/>
        </w:numPr>
        <w:ind w:hanging="436"/>
        <w:outlineLvl w:val="0"/>
        <w:rPr>
          <w:rFonts w:ascii="Verdana" w:hAnsi="Verdana" w:cs="Times New Roman"/>
          <w:b/>
          <w:sz w:val="20"/>
          <w:szCs w:val="20"/>
          <w:lang w:val="bg-BG"/>
        </w:rPr>
      </w:pPr>
      <w:bookmarkStart w:id="1" w:name="_Toc459592805"/>
      <w:r w:rsidRPr="007D619A">
        <w:rPr>
          <w:rFonts w:ascii="Verdana" w:hAnsi="Verdana" w:cs="Times New Roman"/>
          <w:b/>
          <w:sz w:val="20"/>
          <w:szCs w:val="20"/>
          <w:lang w:val="bg-BG"/>
        </w:rPr>
        <w:lastRenderedPageBreak/>
        <w:t>ОСНОВНИ ПОЛОЖЕНИЯ</w:t>
      </w:r>
      <w:bookmarkEnd w:id="1"/>
    </w:p>
    <w:p w14:paraId="69A2EBF6" w14:textId="2167AC0D" w:rsidR="007D619A" w:rsidRPr="007D619A" w:rsidRDefault="007D619A" w:rsidP="00690385">
      <w:pPr>
        <w:pStyle w:val="32"/>
        <w:ind w:left="0"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7D619A">
        <w:rPr>
          <w:rFonts w:ascii="Verdana" w:hAnsi="Verdana"/>
          <w:sz w:val="20"/>
          <w:szCs w:val="20"/>
          <w:lang w:val="bg-BG"/>
        </w:rPr>
        <w:t xml:space="preserve">Във връзка с чл. 31, ал. 1 от Закон за обществените поръчки </w:t>
      </w:r>
      <w:r>
        <w:rPr>
          <w:rFonts w:ascii="Verdana" w:hAnsi="Verdana"/>
          <w:sz w:val="20"/>
          <w:szCs w:val="20"/>
          <w:lang w:val="bg-BG"/>
        </w:rPr>
        <w:t>Изпълнителна агенция „Главна инспекция по труда“</w:t>
      </w:r>
      <w:r w:rsidRPr="007D619A">
        <w:rPr>
          <w:rFonts w:ascii="Verdana" w:hAnsi="Verdana"/>
          <w:sz w:val="20"/>
          <w:szCs w:val="20"/>
          <w:lang w:val="bg-BG"/>
        </w:rPr>
        <w:t xml:space="preserve"> предоставя на участниците в обществена поръчка с предмет </w:t>
      </w:r>
      <w:r w:rsidR="00577DD2" w:rsidRPr="00577DD2">
        <w:rPr>
          <w:rFonts w:ascii="Verdana" w:eastAsia="Arial Unicode MS" w:hAnsi="Verdana"/>
          <w:b/>
          <w:color w:val="000000"/>
          <w:sz w:val="20"/>
          <w:szCs w:val="20"/>
          <w:lang w:val="bg-BG" w:eastAsia="bg-BG"/>
        </w:rPr>
        <w:t>„Закупуване на лицензи необходими за изпълнение</w:t>
      </w:r>
      <w:r w:rsidR="009215D1">
        <w:rPr>
          <w:rFonts w:ascii="Verdana" w:eastAsia="Arial Unicode MS" w:hAnsi="Verdana"/>
          <w:b/>
          <w:color w:val="000000"/>
          <w:sz w:val="20"/>
          <w:szCs w:val="20"/>
          <w:lang w:val="bg-BG" w:eastAsia="bg-BG"/>
        </w:rPr>
        <w:t xml:space="preserve"> на</w:t>
      </w:r>
      <w:r w:rsidR="00577DD2" w:rsidRPr="00577DD2">
        <w:rPr>
          <w:rFonts w:ascii="Verdana" w:eastAsia="Arial Unicode MS" w:hAnsi="Verdana"/>
          <w:b/>
          <w:color w:val="000000"/>
          <w:sz w:val="20"/>
          <w:szCs w:val="20"/>
          <w:lang w:val="bg-BG" w:eastAsia="bg-BG"/>
        </w:rPr>
        <w:t xml:space="preserve"> дейностите по проект BG05M9OP001-3.004 „Оптимизация и иновации в ИА ГИТ““</w:t>
      </w:r>
      <w:r w:rsidR="00577DD2">
        <w:rPr>
          <w:rFonts w:ascii="Verdana" w:eastAsia="Arial Unicode MS" w:hAnsi="Verdana"/>
          <w:b/>
          <w:color w:val="000000"/>
          <w:sz w:val="20"/>
          <w:szCs w:val="20"/>
          <w:lang w:val="bg-BG" w:eastAsia="bg-BG"/>
        </w:rPr>
        <w:t xml:space="preserve"> </w:t>
      </w:r>
      <w:r w:rsidRPr="007D619A">
        <w:rPr>
          <w:rFonts w:ascii="Verdana" w:hAnsi="Verdana"/>
          <w:sz w:val="20"/>
          <w:szCs w:val="20"/>
          <w:lang w:val="bg-BG"/>
        </w:rPr>
        <w:t>указания за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D619A">
        <w:rPr>
          <w:rFonts w:ascii="Verdana" w:hAnsi="Verdana"/>
          <w:sz w:val="20"/>
          <w:szCs w:val="20"/>
          <w:lang w:val="bg-BG"/>
        </w:rPr>
        <w:t>подготовка на офертите и приложените образци на документи в обществената поръчка.</w:t>
      </w:r>
    </w:p>
    <w:p w14:paraId="2A432438" w14:textId="798741E4" w:rsidR="007D619A" w:rsidRPr="007D619A" w:rsidRDefault="007D619A" w:rsidP="007D619A">
      <w:pPr>
        <w:pStyle w:val="a3"/>
        <w:numPr>
          <w:ilvl w:val="0"/>
          <w:numId w:val="31"/>
        </w:numPr>
        <w:tabs>
          <w:tab w:val="left" w:pos="709"/>
        </w:tabs>
        <w:spacing w:line="240" w:lineRule="auto"/>
        <w:ind w:left="0" w:firstLine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 xml:space="preserve">Участник в процедура за възлагане на обществена поръчка може да бъде всяко </w:t>
      </w:r>
      <w:r w:rsidRPr="007D61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българско или чуждестранно физическо или юридическо лице или техни обединения, както и всяко друго образувание, което има право да изпълнява услуги съгласно законодателството на държавата, в която то е установено. </w:t>
      </w:r>
      <w:r w:rsidRPr="007D619A">
        <w:rPr>
          <w:rFonts w:ascii="Verdana" w:hAnsi="Verdana" w:cs="Times New Roman"/>
          <w:sz w:val="20"/>
          <w:szCs w:val="20"/>
          <w:lang w:val="bg-BG"/>
        </w:rPr>
        <w:t>Всеки участник има право да представи само една оферта по настоящата обществена поръчка,</w:t>
      </w:r>
      <w:r>
        <w:rPr>
          <w:rFonts w:ascii="Verdana" w:hAnsi="Verdana" w:cs="Times New Roman"/>
          <w:sz w:val="20"/>
          <w:szCs w:val="20"/>
          <w:lang w:val="bg-BG"/>
        </w:rPr>
        <w:t xml:space="preserve"> за целия и обем. </w:t>
      </w:r>
    </w:p>
    <w:p w14:paraId="6CD148BD" w14:textId="77777777" w:rsidR="007D619A" w:rsidRPr="007D619A" w:rsidRDefault="007D619A" w:rsidP="007D619A">
      <w:pPr>
        <w:pStyle w:val="a3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Разяснения по условията на процедурата се дават при условията, определени в чл. 33 от ЗОП.</w:t>
      </w:r>
    </w:p>
    <w:p w14:paraId="33E0770B" w14:textId="77777777" w:rsidR="007D619A" w:rsidRPr="007D619A" w:rsidRDefault="007D619A" w:rsidP="007D619A">
      <w:pPr>
        <w:pStyle w:val="a3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Обменът на информация между възложителя и участниците се осъществява в писмен вид. </w:t>
      </w:r>
    </w:p>
    <w:p w14:paraId="4543A88D" w14:textId="4B6E99B5" w:rsidR="007D619A" w:rsidRPr="007D619A" w:rsidRDefault="007D619A" w:rsidP="00690385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4.</w:t>
      </w:r>
      <w:r w:rsidRPr="007D619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Информацията от възложителя към участниците, свързана с процедурата за възлагане на обществената поръчка се публикува на профила на купувача на интернет адреса, посочен в обявлението за поръчка, в обособената за целта електронна преписка в съответствие с чл. 42, чл. 43 от ЗОП и чл. 24 от ППЗОП.</w:t>
      </w:r>
    </w:p>
    <w:p w14:paraId="4FA614F8" w14:textId="71361A32" w:rsidR="007D619A" w:rsidRDefault="007D619A" w:rsidP="00690385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619A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5. </w:t>
      </w:r>
      <w:r w:rsidRPr="007D619A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Участниците могат да представят своите писма и уведомления чрез факс, препоръчано писмо с обратна разписка, или по електронен път при условията и по реда на Закона за електронния документ.</w:t>
      </w:r>
    </w:p>
    <w:p w14:paraId="3ADC9CB4" w14:textId="5A398383" w:rsidR="004550D6" w:rsidRPr="007D619A" w:rsidRDefault="004550D6" w:rsidP="00690385">
      <w:pPr>
        <w:pStyle w:val="a3"/>
        <w:spacing w:after="0" w:line="240" w:lineRule="auto"/>
        <w:ind w:left="0" w:firstLine="426"/>
        <w:jc w:val="both"/>
        <w:textAlignment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4550D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6.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На основание чл. 104, ал. 2 от ЗОП, във връзка с чл. 104, ал. 3 от ЗОП, оценката на техническите и ценовите предложения на участниците ще се извърши преди провеждане на предварителен подбор. Действията на комисията ще се извършат по реда на чл. 61 от ППЗОП. </w:t>
      </w:r>
    </w:p>
    <w:p w14:paraId="317F4F94" w14:textId="77777777" w:rsidR="007D619A" w:rsidRPr="007D619A" w:rsidRDefault="007D619A" w:rsidP="007D619A">
      <w:pPr>
        <w:pStyle w:val="1"/>
        <w:numPr>
          <w:ilvl w:val="0"/>
          <w:numId w:val="26"/>
        </w:numPr>
        <w:spacing w:after="120"/>
        <w:jc w:val="left"/>
        <w:rPr>
          <w:rFonts w:ascii="Verdana" w:hAnsi="Verdana"/>
          <w:b w:val="0"/>
          <w:bCs/>
          <w:caps/>
          <w:color w:val="auto"/>
          <w:sz w:val="20"/>
          <w:szCs w:val="20"/>
        </w:rPr>
      </w:pPr>
      <w:r w:rsidRPr="007D619A">
        <w:rPr>
          <w:rFonts w:ascii="Verdana" w:hAnsi="Verdana"/>
          <w:bCs/>
          <w:caps/>
          <w:color w:val="auto"/>
          <w:sz w:val="20"/>
          <w:szCs w:val="20"/>
        </w:rPr>
        <w:t>Критерий за възлагане на поръчката</w:t>
      </w:r>
    </w:p>
    <w:p w14:paraId="7C1CA04D" w14:textId="76C86E76" w:rsidR="007D619A" w:rsidRPr="007D619A" w:rsidRDefault="007D619A" w:rsidP="007D619A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Обществената поръчка се възлага въз основа на икономически най-изгодната оферта, определена въз основа на най-ниска цена съгласно чл. 70, ал.</w:t>
      </w:r>
      <w:r>
        <w:rPr>
          <w:rFonts w:ascii="Verdana" w:hAnsi="Verdana" w:cs="Times New Roman"/>
          <w:sz w:val="20"/>
          <w:szCs w:val="20"/>
        </w:rPr>
        <w:t xml:space="preserve"> 2</w:t>
      </w:r>
      <w:r w:rsidRPr="007D619A">
        <w:rPr>
          <w:rFonts w:ascii="Verdana" w:hAnsi="Verdana" w:cs="Times New Roman"/>
          <w:sz w:val="20"/>
          <w:szCs w:val="20"/>
          <w:lang w:val="bg-BG"/>
        </w:rPr>
        <w:t>, т.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1 от ЗОП. </w:t>
      </w:r>
    </w:p>
    <w:p w14:paraId="759C3F92" w14:textId="77777777" w:rsidR="007D619A" w:rsidRDefault="007D619A" w:rsidP="007D619A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На основание чл. 70, ал. 3 от ЗОП, избраният критерий за възлагане е посочен в обявлението и настоящата документация.</w:t>
      </w:r>
    </w:p>
    <w:p w14:paraId="559ADB51" w14:textId="77777777" w:rsidR="007D619A" w:rsidRPr="007D619A" w:rsidRDefault="007D619A" w:rsidP="007D619A">
      <w:pPr>
        <w:tabs>
          <w:tab w:val="left" w:pos="993"/>
          <w:tab w:val="left" w:pos="1134"/>
        </w:tabs>
        <w:spacing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40A7E167" w14:textId="063FB8A2" w:rsidR="007D619A" w:rsidRPr="007D619A" w:rsidRDefault="007D619A" w:rsidP="007D619A">
      <w:pPr>
        <w:pStyle w:val="a3"/>
        <w:spacing w:line="240" w:lineRule="auto"/>
        <w:ind w:left="284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III. Изисквания към участниците в процедурата</w:t>
      </w:r>
    </w:p>
    <w:p w14:paraId="037F037D" w14:textId="77777777" w:rsidR="007D619A" w:rsidRPr="007D619A" w:rsidRDefault="007D619A" w:rsidP="00690385">
      <w:pPr>
        <w:spacing w:after="0" w:line="240" w:lineRule="auto"/>
        <w:ind w:firstLine="567"/>
        <w:jc w:val="both"/>
        <w:textAlignment w:val="center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3AB5886F" w14:textId="77777777" w:rsidR="007D619A" w:rsidRPr="007D619A" w:rsidRDefault="007D619A" w:rsidP="007D619A">
      <w:pPr>
        <w:pStyle w:val="a3"/>
        <w:numPr>
          <w:ilvl w:val="0"/>
          <w:numId w:val="28"/>
        </w:numPr>
        <w:spacing w:after="120" w:line="240" w:lineRule="auto"/>
        <w:ind w:left="0" w:firstLine="425"/>
        <w:jc w:val="both"/>
        <w:textAlignment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7D61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Лично състояние на участниците и основания за задължително отстраняване</w:t>
      </w:r>
    </w:p>
    <w:p w14:paraId="613FE2BD" w14:textId="4B98D5EB" w:rsidR="007D619A" w:rsidRPr="007D619A" w:rsidRDefault="007D619A" w:rsidP="007D619A">
      <w:pPr>
        <w:pStyle w:val="a3"/>
        <w:numPr>
          <w:ilvl w:val="1"/>
          <w:numId w:val="28"/>
        </w:numPr>
        <w:tabs>
          <w:tab w:val="left" w:pos="993"/>
        </w:tabs>
        <w:spacing w:before="240" w:after="120" w:line="240" w:lineRule="auto"/>
        <w:ind w:left="0" w:firstLine="709"/>
        <w:contextualSpacing w:val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 xml:space="preserve">От участие в процедурата за възлагане на обществената поръчка се отстранява участник, за когото е налице обстоятелство по 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>чл. 54, ал. 1</w:t>
      </w:r>
      <w:r w:rsidR="0037620C">
        <w:rPr>
          <w:rFonts w:ascii="Verdana" w:hAnsi="Verdana" w:cs="Times New Roman"/>
          <w:iCs/>
          <w:sz w:val="20"/>
          <w:szCs w:val="20"/>
          <w:lang w:eastAsia="zh-CN"/>
        </w:rPr>
        <w:t xml:space="preserve"> </w:t>
      </w:r>
      <w:r w:rsidR="0037620C">
        <w:rPr>
          <w:rFonts w:ascii="Verdana" w:hAnsi="Verdana" w:cs="Times New Roman"/>
          <w:iCs/>
          <w:sz w:val="20"/>
          <w:szCs w:val="20"/>
          <w:lang w:val="bg-BG" w:eastAsia="zh-CN"/>
        </w:rPr>
        <w:t>от ЗОП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, участник, за чиято оферта е налице някое от основанията по чл. 107 от ЗОП, както и участник, за когото се установи, че подлежи на отстраняване на основание чл. 5, ал. 1, т. 3, буква „а“, във връзка с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14:paraId="6AEA5362" w14:textId="77777777" w:rsidR="007D619A" w:rsidRDefault="007D619A" w:rsidP="007D619A">
      <w:pPr>
        <w:pStyle w:val="a3"/>
        <w:numPr>
          <w:ilvl w:val="1"/>
          <w:numId w:val="28"/>
        </w:numPr>
        <w:spacing w:before="120" w:after="0" w:line="240" w:lineRule="auto"/>
        <w:ind w:left="0" w:firstLine="709"/>
        <w:contextualSpacing w:val="0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От участие в процедурата за възлагане на обществената поръчка се отстранява участник - обединение от  физически и/или юридически лица, когато за член на обединението е налице някое от основанията за отстраняване по 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>чл. 54, ал. 1 от ЗОП.</w:t>
      </w:r>
    </w:p>
    <w:p w14:paraId="415363F9" w14:textId="77777777" w:rsidR="0037620C" w:rsidRPr="007D619A" w:rsidRDefault="0037620C" w:rsidP="0037620C">
      <w:pPr>
        <w:pStyle w:val="a3"/>
        <w:spacing w:before="120" w:after="0" w:line="240" w:lineRule="auto"/>
        <w:ind w:left="709"/>
        <w:contextualSpacing w:val="0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</w:p>
    <w:p w14:paraId="3A8DD7EE" w14:textId="77777777" w:rsidR="007D619A" w:rsidRPr="007D619A" w:rsidRDefault="007D619A" w:rsidP="007D619A">
      <w:pPr>
        <w:pStyle w:val="a3"/>
        <w:numPr>
          <w:ilvl w:val="0"/>
          <w:numId w:val="34"/>
        </w:numPr>
        <w:tabs>
          <w:tab w:val="left" w:pos="709"/>
        </w:tabs>
        <w:spacing w:line="360" w:lineRule="auto"/>
        <w:jc w:val="both"/>
        <w:outlineLvl w:val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7D619A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КРИТЕРИИ ЗА ПОДБОР</w:t>
      </w:r>
    </w:p>
    <w:p w14:paraId="6EA18CB7" w14:textId="77777777" w:rsidR="007D619A" w:rsidRPr="007D619A" w:rsidRDefault="007D619A" w:rsidP="007D619A">
      <w:pPr>
        <w:pStyle w:val="a3"/>
        <w:numPr>
          <w:ilvl w:val="0"/>
          <w:numId w:val="29"/>
        </w:numPr>
        <w:spacing w:line="360" w:lineRule="auto"/>
        <w:ind w:hanging="294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>Изисквания за технически и професионални способности на участниците</w:t>
      </w:r>
    </w:p>
    <w:p w14:paraId="46A03EB8" w14:textId="77777777" w:rsidR="007D619A" w:rsidRPr="007D619A" w:rsidRDefault="007D619A" w:rsidP="007D619A">
      <w:pPr>
        <w:pStyle w:val="a3"/>
        <w:numPr>
          <w:ilvl w:val="1"/>
          <w:numId w:val="29"/>
        </w:numPr>
        <w:spacing w:line="240" w:lineRule="auto"/>
        <w:ind w:left="0" w:firstLine="70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Всеки участник следва да отговаря на минималните изисквания за технически и професионални способности, посочени в раздел III.1.3 от обявлението за поръчка.</w:t>
      </w:r>
    </w:p>
    <w:p w14:paraId="0C92E49A" w14:textId="4ADC9A76" w:rsidR="007D619A" w:rsidRPr="007D619A" w:rsidRDefault="00577DD2" w:rsidP="00577DD2">
      <w:pPr>
        <w:pStyle w:val="a3"/>
        <w:spacing w:line="240" w:lineRule="auto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>
        <w:rPr>
          <w:rFonts w:ascii="Verdana" w:hAnsi="Verdana" w:cs="Times New Roman"/>
          <w:sz w:val="20"/>
          <w:szCs w:val="20"/>
          <w:lang w:val="bg-BG"/>
        </w:rPr>
        <w:tab/>
      </w:r>
      <w:r w:rsidRPr="00577DD2">
        <w:rPr>
          <w:rFonts w:ascii="Verdana" w:hAnsi="Verdana" w:cs="Times New Roman"/>
          <w:b/>
          <w:sz w:val="20"/>
          <w:szCs w:val="20"/>
          <w:lang w:val="bg-BG"/>
        </w:rPr>
        <w:t>1.1.</w:t>
      </w:r>
      <w:r w:rsidR="0075269A">
        <w:rPr>
          <w:rFonts w:ascii="Verdana" w:hAnsi="Verdana" w:cs="Times New Roman"/>
          <w:b/>
          <w:sz w:val="20"/>
          <w:szCs w:val="20"/>
          <w:lang w:val="bg-BG"/>
        </w:rPr>
        <w:t>1.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577DD2">
        <w:rPr>
          <w:rFonts w:ascii="Verdana" w:hAnsi="Verdana" w:cs="Times New Roman"/>
          <w:sz w:val="20"/>
          <w:szCs w:val="20"/>
          <w:lang w:val="bg-BG"/>
        </w:rPr>
        <w:t>Участникът следва да е изпълнил дейности с предмет и обем, идентични или сходни с тези на поръчката, за последните три години от датата на подаване на офертата. За доказване на техническите и професионалните способности във връзка с поставеното изискване участниците представят: списък на услугите,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услуга. Списъкът се представя чрез попълване на информацията в част ІV, б. „В“, б.1б на Единния европейски документ за обществени поръчки (ЕЕДОП).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  </w:t>
      </w:r>
    </w:p>
    <w:p w14:paraId="05317A58" w14:textId="0932F817" w:rsidR="002B4964" w:rsidRPr="007361FC" w:rsidRDefault="0037620C" w:rsidP="002B4964">
      <w:pPr>
        <w:spacing w:before="20" w:after="20" w:line="20" w:lineRule="atLeast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 w:rsidR="002B4964" w:rsidRPr="007361FC">
        <w:rPr>
          <w:rFonts w:ascii="Verdana" w:hAnsi="Verdana" w:cs="Times New Roman"/>
          <w:b/>
          <w:sz w:val="20"/>
          <w:szCs w:val="20"/>
          <w:lang w:val="bg-BG"/>
        </w:rPr>
        <w:t>Изисквано минимално ниво:</w:t>
      </w:r>
    </w:p>
    <w:p w14:paraId="17B5B30B" w14:textId="77777777" w:rsidR="00577DD2" w:rsidRDefault="00577DD2" w:rsidP="0037620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 w:rsidRPr="00577DD2">
        <w:rPr>
          <w:rFonts w:ascii="Verdana" w:hAnsi="Verdana" w:cs="Times New Roman"/>
          <w:sz w:val="20"/>
          <w:szCs w:val="20"/>
          <w:lang w:val="bg-BG"/>
        </w:rPr>
        <w:t>Участникът следва да е изпълнил минимум три услуги с предмет, идентичен или сходен с този на обществената поръчка като под дейности, еднакви или сходни с предмета на обществената поръчка, следва да се разбира: доставка на лицензи и/или други аналогични софтуерни продукти.</w:t>
      </w:r>
    </w:p>
    <w:p w14:paraId="3B358F12" w14:textId="635B5119" w:rsidR="007D619A" w:rsidRDefault="002B4964" w:rsidP="0037620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При участници обединения, които не са юридически лица,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10BE6C80" w14:textId="1AACD805" w:rsidR="007D619A" w:rsidRPr="007D619A" w:rsidRDefault="0037620C" w:rsidP="00CA531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ab/>
      </w:r>
      <w:r w:rsidR="00CA5315" w:rsidRPr="00CA5315">
        <w:rPr>
          <w:rFonts w:ascii="Verdana" w:hAnsi="Verdana" w:cs="Times New Roman"/>
          <w:b/>
          <w:sz w:val="20"/>
          <w:szCs w:val="20"/>
          <w:lang w:val="bg-BG"/>
        </w:rPr>
        <w:t>1.2.</w:t>
      </w:r>
      <w:r w:rsidR="00CA5315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В случай, че участникът ще ползва подизпълнители, посочените критерии за подбор се прилагат за тях, съобразно вида и дела от предмета на поръчката, която те ще изпълняват, посочен в офертата на участника.</w:t>
      </w:r>
    </w:p>
    <w:p w14:paraId="74551E7F" w14:textId="29AADB53" w:rsidR="007D619A" w:rsidRPr="007D619A" w:rsidRDefault="007D619A" w:rsidP="00690385">
      <w:pPr>
        <w:spacing w:after="0" w:line="24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61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</w:t>
      </w:r>
      <w:r w:rsidR="00CA531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.3</w:t>
      </w:r>
      <w:r w:rsidRPr="007D61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Pr="007D61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 отношение на критериите, свързани с технически способности, участниците могат да се позоват на капацитета на трети лица в съответствие с чл. 65, ал.1, ал. 3 и ал. 4 от ЗОП.</w:t>
      </w:r>
    </w:p>
    <w:p w14:paraId="007FF097" w14:textId="0D5A0B64" w:rsidR="007D619A" w:rsidRPr="007D619A" w:rsidRDefault="0075269A" w:rsidP="0075269A">
      <w:pPr>
        <w:pStyle w:val="1"/>
        <w:numPr>
          <w:ilvl w:val="0"/>
          <w:numId w:val="0"/>
        </w:numPr>
        <w:spacing w:after="120"/>
        <w:rPr>
          <w:rFonts w:ascii="Verdana" w:hAnsi="Verdana"/>
          <w:b w:val="0"/>
          <w:caps/>
          <w:color w:val="auto"/>
          <w:sz w:val="20"/>
          <w:szCs w:val="20"/>
        </w:rPr>
      </w:pPr>
      <w:r>
        <w:rPr>
          <w:rFonts w:ascii="Verdana" w:hAnsi="Verdana"/>
          <w:caps/>
          <w:color w:val="auto"/>
          <w:sz w:val="20"/>
          <w:szCs w:val="20"/>
        </w:rPr>
        <w:tab/>
      </w:r>
      <w:r w:rsidR="007D619A" w:rsidRPr="007D619A">
        <w:rPr>
          <w:rFonts w:ascii="Verdana" w:hAnsi="Verdana"/>
          <w:caps/>
          <w:color w:val="auto"/>
          <w:sz w:val="20"/>
          <w:szCs w:val="20"/>
        </w:rPr>
        <w:t>V. Подготовка и съдържание на офертите</w:t>
      </w:r>
    </w:p>
    <w:p w14:paraId="473D8D79" w14:textId="706DE90B" w:rsidR="007D619A" w:rsidRPr="007D619A" w:rsidRDefault="007D619A" w:rsidP="00690385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iCs/>
          <w:sz w:val="20"/>
          <w:szCs w:val="20"/>
          <w:lang w:val="bg-BG" w:eastAsia="zh-CN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ab/>
        <w:t>1.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Участникът декларира лично състояние, липсата на основания за отстраняване, посочени по т. ІІI, т. 1 и съответствието с поставените от възложителя критерии за подбор по т. IV., т.1 от настоящите указания, чрез представяне на 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Единен европейски документ за обществени поръчки (ЕЕДОП), съгласно чл. 67, ал. 1 от ЗОП (Приложение 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lastRenderedPageBreak/>
        <w:t>№ 1 към документа</w:t>
      </w:r>
      <w:r w:rsidR="00577DD2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цията за обществената поръчка). Когато участникът е обединение, ЕЕДОП се представя за всеки от участниците в обединението, което не е юридическо лице, както и за всеки подизпълнител и за всяко лице, чиито ресурси ще бъдат ангажирани в изпълнението на поръчката. </w:t>
      </w:r>
    </w:p>
    <w:p w14:paraId="1F6932C7" w14:textId="0C1E7D55" w:rsidR="007D619A" w:rsidRPr="007D619A" w:rsidRDefault="007D619A" w:rsidP="00690385">
      <w:pPr>
        <w:tabs>
          <w:tab w:val="left" w:pos="709"/>
        </w:tabs>
        <w:spacing w:before="240" w:after="120" w:line="240" w:lineRule="auto"/>
        <w:jc w:val="both"/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</w:pPr>
      <w:r w:rsidRPr="007D619A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2.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За доказване на техническите и професионалните способности във връзка с изискването по т. IV., т. 1.1.</w:t>
      </w:r>
      <w:r w:rsidR="0075269A">
        <w:rPr>
          <w:rFonts w:ascii="Verdana" w:hAnsi="Verdana" w:cs="Times New Roman"/>
          <w:iCs/>
          <w:sz w:val="20"/>
          <w:szCs w:val="20"/>
          <w:lang w:val="bg-BG" w:eastAsia="zh-CN"/>
        </w:rPr>
        <w:t>1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 участниците представят: списък на </w:t>
      </w:r>
      <w:r w:rsidR="00577DD2">
        <w:rPr>
          <w:rFonts w:ascii="Verdana" w:hAnsi="Verdana" w:cs="Times New Roman"/>
          <w:iCs/>
          <w:sz w:val="20"/>
          <w:szCs w:val="20"/>
          <w:lang w:val="bg-BG" w:eastAsia="zh-CN"/>
        </w:rPr>
        <w:t>услугите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, изпълнени през последните три години от датата на подаване на офертата,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доставка. </w:t>
      </w:r>
      <w:r w:rsidRPr="007D619A"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  <w:t xml:space="preserve">Списъкът се представя чрез попълване на информацията в част ІV, б. „В“, б.1б на Единния европейски документ за обществени поръчки (ЕЕДОП).  </w:t>
      </w:r>
    </w:p>
    <w:p w14:paraId="21CDB6BD" w14:textId="77777777" w:rsidR="007D619A" w:rsidRPr="007D619A" w:rsidRDefault="007D619A" w:rsidP="00690385">
      <w:pPr>
        <w:tabs>
          <w:tab w:val="left" w:pos="709"/>
        </w:tabs>
        <w:spacing w:before="24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iCs/>
          <w:sz w:val="20"/>
          <w:szCs w:val="20"/>
          <w:lang w:val="bg-BG" w:eastAsia="zh-CN"/>
        </w:rPr>
        <w:tab/>
        <w:t>3</w:t>
      </w:r>
      <w:r w:rsidRPr="007D619A">
        <w:rPr>
          <w:rFonts w:ascii="Verdana" w:eastAsia="Calibri" w:hAnsi="Verdana" w:cs="Times New Roman"/>
          <w:b/>
          <w:sz w:val="20"/>
          <w:szCs w:val="20"/>
          <w:lang w:val="bg-BG"/>
        </w:rPr>
        <w:t>.</w:t>
      </w:r>
      <w:r w:rsidRPr="007D619A">
        <w:rPr>
          <w:rFonts w:ascii="Verdana" w:eastAsia="Calibri" w:hAnsi="Verdana" w:cs="Times New Roman"/>
          <w:b/>
          <w:i/>
          <w:sz w:val="20"/>
          <w:szCs w:val="20"/>
          <w:lang w:val="bg-BG"/>
        </w:rPr>
        <w:t xml:space="preserve"> </w:t>
      </w:r>
      <w:r w:rsidRPr="007D619A">
        <w:rPr>
          <w:rFonts w:ascii="Verdana" w:hAnsi="Verdana" w:cs="Times New Roman"/>
          <w:iCs/>
          <w:sz w:val="20"/>
          <w:szCs w:val="20"/>
          <w:lang w:val="bg-BG" w:eastAsia="zh-CN"/>
        </w:rPr>
        <w:t xml:space="preserve">Наличието/липсата на обстоятелствата по 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се посочва в част III., буква „Г“ от ЕЕДОП. Участникът задължително следва да  </w:t>
      </w:r>
      <w:r w:rsidRPr="007D619A">
        <w:rPr>
          <w:rFonts w:ascii="Verdana" w:hAnsi="Verdana" w:cs="Times New Roman"/>
          <w:b/>
          <w:sz w:val="20"/>
          <w:szCs w:val="20"/>
          <w:lang w:val="bg-BG"/>
        </w:rPr>
        <w:t>декларира обстоятелствата по чл. 3, т. 8 и чл. 4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в ЕЕДОП, както следва:</w:t>
      </w:r>
    </w:p>
    <w:p w14:paraId="6BE83E35" w14:textId="77777777" w:rsidR="007D619A" w:rsidRPr="007D619A" w:rsidRDefault="007D619A" w:rsidP="00690385">
      <w:pPr>
        <w:tabs>
          <w:tab w:val="left" w:pos="993"/>
        </w:tabs>
        <w:spacing w:before="24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ab/>
        <w:t xml:space="preserve">- дали представляваният участник </w:t>
      </w:r>
      <w:r w:rsidRPr="007D619A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 / не</w:t>
      </w:r>
      <w:r w:rsidRPr="007D619A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7D619A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дружество в юрисдикция с преференциален данъчен режим;</w:t>
      </w:r>
    </w:p>
    <w:p w14:paraId="47A77762" w14:textId="77777777" w:rsidR="007D619A" w:rsidRPr="007D619A" w:rsidRDefault="007D619A" w:rsidP="00690385">
      <w:pPr>
        <w:tabs>
          <w:tab w:val="left" w:pos="993"/>
        </w:tabs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ab/>
        <w:t xml:space="preserve">- дали представляваният участник </w:t>
      </w:r>
      <w:r w:rsidRPr="007D619A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 / не</w:t>
      </w:r>
      <w:r w:rsidRPr="007D619A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7D619A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е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свързано лице с лица, регистрирани в юрисдикции с преференциален данъчен режим.</w:t>
      </w:r>
    </w:p>
    <w:p w14:paraId="7E9BB574" w14:textId="77777777" w:rsidR="007D619A" w:rsidRPr="007D619A" w:rsidRDefault="007D619A" w:rsidP="00690385">
      <w:pPr>
        <w:tabs>
          <w:tab w:val="left" w:pos="993"/>
        </w:tabs>
        <w:spacing w:before="120" w:after="120" w:line="240" w:lineRule="auto"/>
        <w:jc w:val="both"/>
        <w:rPr>
          <w:rFonts w:ascii="Verdana" w:eastAsia="Calibri" w:hAnsi="Verdana" w:cs="Times New Roman"/>
          <w:b/>
          <w:i/>
          <w:sz w:val="20"/>
          <w:szCs w:val="20"/>
          <w:u w:val="single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ab/>
        <w:t xml:space="preserve">- за участници-обединения, дали в представлявания участник-обединение </w:t>
      </w:r>
      <w:r w:rsidRPr="007D619A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участва/не участва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дружество, регистрирано в юрисдикция с преференциален данъчен режим по смисъла на §1,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368D0E97" w14:textId="77777777" w:rsidR="007D619A" w:rsidRPr="007D619A" w:rsidRDefault="007D619A" w:rsidP="00690385">
      <w:pPr>
        <w:tabs>
          <w:tab w:val="left" w:pos="851"/>
        </w:tabs>
        <w:spacing w:after="24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D619A">
        <w:rPr>
          <w:rFonts w:ascii="Verdana" w:hAnsi="Verdana"/>
          <w:sz w:val="20"/>
          <w:szCs w:val="20"/>
          <w:lang w:val="bg-BG"/>
        </w:rPr>
        <w:tab/>
      </w:r>
      <w:r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ЕЕДОП се попълва електронно и се представя на хартиен носител, в оригинал, подписан от участника/представляващото го лице. </w:t>
      </w:r>
    </w:p>
    <w:p w14:paraId="5C757C9D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4.</w:t>
      </w:r>
      <w:r w:rsidRPr="007D619A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D619A">
        <w:rPr>
          <w:rFonts w:ascii="Verdana" w:hAnsi="Verdana" w:cs="Times New Roman"/>
          <w:sz w:val="20"/>
          <w:szCs w:val="20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попълва и представя един ЕЕДОП.</w:t>
      </w:r>
    </w:p>
    <w:p w14:paraId="223A70FF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5.</w:t>
      </w:r>
      <w:r w:rsidRPr="007D619A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D619A">
        <w:rPr>
          <w:rFonts w:ascii="Verdana" w:hAnsi="Verdana" w:cs="Times New Roman"/>
          <w:sz w:val="20"/>
          <w:szCs w:val="20"/>
          <w:lang w:val="bg-BG"/>
        </w:rPr>
        <w:t>Участник (икономически оператор), който участва самостоятелно в обществената поръчка, но ще ползва капацитета на трето/и лице/а по отношение на критериите за подбор, посочени от възложителя, представя попълнен отделен ЕЕДОП за всяко едно от третите лица. Участник (икономически оператор), който участва самостоятелно в обществената поръчка, но посочва, че ще ползва капацитета на подизпълнител/и предоставя попълнен отделен ЕЕДОП за всеки подизпълнител. По отношение на подизпълнителите не следва да са налице основания за отстраняване по т. ІІI, т.1.1 от настоящите указания и трябва да отговарят на критериите за подбор, съобразно вида и дела от предмета на поръчката, които ще изпълняват.</w:t>
      </w:r>
    </w:p>
    <w:p w14:paraId="370DB7EF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lastRenderedPageBreak/>
        <w:t>6</w:t>
      </w:r>
      <w:r w:rsidRPr="007D619A">
        <w:rPr>
          <w:rFonts w:ascii="Verdana" w:hAnsi="Verdana" w:cs="Times New Roman"/>
          <w:sz w:val="20"/>
          <w:szCs w:val="20"/>
          <w:lang w:val="bg-BG"/>
        </w:rPr>
        <w:t>. Когато изискванията на възложителя по чл. 54, ал. 1, т. 1, 2 и 7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се попълва в отделен ЕЕДОП за всяко лице или за някои от лицата.</w:t>
      </w:r>
    </w:p>
    <w:p w14:paraId="245628BD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>7.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619A">
        <w:rPr>
          <w:rFonts w:ascii="Verdana" w:eastAsia="Times New Roman" w:hAnsi="Verdana" w:cs="Times New Roman"/>
          <w:sz w:val="20"/>
          <w:szCs w:val="20"/>
          <w:lang w:val="bg-BG" w:eastAsia="bg-BG"/>
        </w:rPr>
        <w:t>В случаите по т. 7,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14:paraId="18659721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>8.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Участник, за когото е налице някое от основанията за отстраняване по чл. 54, ал. 1 от ЗОП, представя документи, удостоверяващи предприетите от него мерки за доказване на надеждност, съгласно чл. 56 от ЗОП. Предприетите мерки се описват в съответния раздел на ЕЕДОП. Като доказателства за надеждността на участника се представят документите, посочени в чл. 45, ал. 2 от ППЗОП. </w:t>
      </w:r>
    </w:p>
    <w:p w14:paraId="0C6396DF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9.</w:t>
      </w:r>
      <w:r w:rsidRPr="007D619A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Възложителят може по всяко време да изиска от участниците представяне на документите, чрез които се доказва посочената в ЕЕДОП информация, съгласно чл. 64, ал. 1 от ЗОП, когато това е необходимо за законосъобразното провеждане на процедурата. </w:t>
      </w:r>
    </w:p>
    <w:p w14:paraId="639FA03B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>10.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Участниците са длъжни да уведомят писмено възложителя за настъпване на обстоятелство по чл. 54, ал. 1 от ЗОП и чл. 107, т. 4 от ЗОП от настоящите указания, в 3-дневен срок от настъпването.  </w:t>
      </w:r>
    </w:p>
    <w:p w14:paraId="7DD2F29D" w14:textId="77777777" w:rsidR="007D619A" w:rsidRPr="007D619A" w:rsidRDefault="007D619A" w:rsidP="00690385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Когато се подава повече от един ЕЕДОП, обстоятелствата, свързани с критериите за подбор, се попълват от участника само в ЕЕДОП, подписан от лице, което може самостоятелно да представлява съответния икономически оператор (участник).</w:t>
      </w:r>
    </w:p>
    <w:p w14:paraId="20B2628E" w14:textId="77777777" w:rsidR="007D619A" w:rsidRPr="007D619A" w:rsidRDefault="007D619A" w:rsidP="00690385">
      <w:pPr>
        <w:spacing w:after="0" w:line="240" w:lineRule="auto"/>
        <w:ind w:firstLine="709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11. </w:t>
      </w:r>
      <w:r w:rsidRPr="007D619A">
        <w:rPr>
          <w:rFonts w:ascii="Verdana" w:hAnsi="Verdana" w:cs="Times New Roman"/>
          <w:sz w:val="20"/>
          <w:szCs w:val="20"/>
          <w:lang w:val="bg-BG"/>
        </w:rPr>
        <w:t>Участник – обединение, което не е юридическо лице,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767B9C40" w14:textId="77777777" w:rsidR="007D619A" w:rsidRPr="007D619A" w:rsidRDefault="007D619A" w:rsidP="007D619A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правата и задълженията на участниците в обединението;</w:t>
      </w:r>
    </w:p>
    <w:p w14:paraId="7F264C11" w14:textId="77777777" w:rsidR="007D619A" w:rsidRPr="007D619A" w:rsidRDefault="007D619A" w:rsidP="007D619A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разпределение на отговорността между членовете на обединението, включително уговаряне на солидарна отговорност;</w:t>
      </w:r>
    </w:p>
    <w:p w14:paraId="7B411C16" w14:textId="77777777" w:rsidR="007D619A" w:rsidRPr="007D619A" w:rsidRDefault="007D619A" w:rsidP="007D619A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дейностите, които ще изпълнява всеки член на обединението;</w:t>
      </w:r>
    </w:p>
    <w:p w14:paraId="0BDF7833" w14:textId="77777777" w:rsidR="007D619A" w:rsidRPr="007D619A" w:rsidRDefault="007D619A" w:rsidP="007D619A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определяне на партньор, който да представлява обединението за целите на обществената поръчка.</w:t>
      </w:r>
    </w:p>
    <w:p w14:paraId="1712E7EA" w14:textId="77777777" w:rsidR="007D619A" w:rsidRPr="007D619A" w:rsidRDefault="007D619A" w:rsidP="004550D6">
      <w:pPr>
        <w:pStyle w:val="1"/>
        <w:numPr>
          <w:ilvl w:val="0"/>
          <w:numId w:val="0"/>
        </w:numPr>
        <w:spacing w:after="120"/>
        <w:jc w:val="center"/>
        <w:rPr>
          <w:rFonts w:ascii="Verdana" w:hAnsi="Verdana"/>
          <w:b w:val="0"/>
          <w:bCs/>
          <w:caps/>
          <w:color w:val="auto"/>
          <w:sz w:val="20"/>
          <w:szCs w:val="20"/>
        </w:rPr>
      </w:pPr>
      <w:r w:rsidRPr="007D619A">
        <w:rPr>
          <w:rFonts w:ascii="Verdana" w:hAnsi="Verdana"/>
          <w:bCs/>
          <w:caps/>
          <w:color w:val="auto"/>
          <w:sz w:val="20"/>
          <w:szCs w:val="20"/>
        </w:rPr>
        <w:t>VI. Представяне на офертите</w:t>
      </w:r>
    </w:p>
    <w:p w14:paraId="4B57B600" w14:textId="01CB5043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1.</w:t>
      </w:r>
      <w:r w:rsidRPr="007D619A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7D619A">
        <w:rPr>
          <w:rFonts w:ascii="Verdana" w:hAnsi="Verdana" w:cs="Times New Roman"/>
          <w:sz w:val="20"/>
          <w:szCs w:val="20"/>
          <w:lang w:val="bg-BG"/>
        </w:rPr>
        <w:t>Документите, свързани с участието в процедурата се представят в съответствие с изискванията на чл. 47, ал. 1</w:t>
      </w:r>
      <w:r w:rsidR="00BD388D">
        <w:rPr>
          <w:rFonts w:ascii="Verdana" w:hAnsi="Verdana" w:cs="Times New Roman"/>
          <w:sz w:val="20"/>
          <w:szCs w:val="20"/>
          <w:lang w:val="bg-BG"/>
        </w:rPr>
        <w:t>,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ал. 2</w:t>
      </w:r>
      <w:r w:rsidR="00BD388D">
        <w:rPr>
          <w:rFonts w:ascii="Verdana" w:hAnsi="Verdana" w:cs="Times New Roman"/>
          <w:sz w:val="20"/>
          <w:szCs w:val="20"/>
          <w:lang w:val="bg-BG"/>
        </w:rPr>
        <w:t xml:space="preserve"> и ал. 3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 от ППЗОП. </w:t>
      </w:r>
    </w:p>
    <w:p w14:paraId="7EEE0E77" w14:textId="5B4A60F5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2. </w:t>
      </w:r>
      <w:r w:rsidR="00C35CB6" w:rsidRPr="00C35CB6">
        <w:rPr>
          <w:rFonts w:ascii="Verdana" w:hAnsi="Verdana" w:cs="Times New Roman"/>
          <w:b/>
          <w:sz w:val="20"/>
          <w:szCs w:val="20"/>
          <w:lang w:val="bg-BG"/>
        </w:rPr>
        <w:t>Документите се представят в запечатана непрозрачна опаковка, върху която се посочват наименованието на участника, включително участниците в обединението (когато е приложимо), адрес за кореспонденция, телефон и по възможност факс и електронен адрес, наименованието на настоящата обществена поръчка.</w:t>
      </w:r>
    </w:p>
    <w:p w14:paraId="0DADDDB9" w14:textId="77777777" w:rsid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3. </w:t>
      </w:r>
      <w:r w:rsidRPr="007D619A">
        <w:rPr>
          <w:rFonts w:ascii="Verdana" w:hAnsi="Verdana" w:cs="Times New Roman"/>
          <w:b/>
          <w:sz w:val="20"/>
          <w:szCs w:val="20"/>
          <w:u w:val="single"/>
          <w:lang w:val="bg-BG"/>
        </w:rPr>
        <w:t>Опаковката с документите за участие съдържа:</w:t>
      </w:r>
    </w:p>
    <w:p w14:paraId="621FCAA9" w14:textId="334394BE" w:rsidR="007D619A" w:rsidRPr="007D619A" w:rsidRDefault="00C35CB6" w:rsidP="00690385">
      <w:pPr>
        <w:spacing w:after="0" w:line="24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bCs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bCs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3.</w:t>
      </w:r>
      <w:r w:rsidR="00BD388D">
        <w:rPr>
          <w:rFonts w:ascii="Verdana" w:hAnsi="Verdana" w:cs="Times New Roman"/>
          <w:b/>
          <w:bCs/>
          <w:sz w:val="20"/>
          <w:szCs w:val="20"/>
          <w:lang w:val="bg-BG"/>
        </w:rPr>
        <w:t>1</w:t>
      </w:r>
      <w:r w:rsidR="007D619A" w:rsidRPr="007D619A">
        <w:rPr>
          <w:rFonts w:ascii="Verdana" w:hAnsi="Verdana" w:cs="Times New Roman"/>
          <w:b/>
          <w:bCs/>
          <w:sz w:val="20"/>
          <w:szCs w:val="20"/>
          <w:lang w:val="bg-BG"/>
        </w:rPr>
        <w:t>. Опис на документите и информацията,</w:t>
      </w:r>
      <w:r w:rsidR="007D619A" w:rsidRPr="007D619A">
        <w:rPr>
          <w:rFonts w:ascii="Verdana" w:hAnsi="Verdana" w:cs="Times New Roman"/>
          <w:bCs/>
          <w:sz w:val="20"/>
          <w:szCs w:val="20"/>
          <w:lang w:val="bg-BG"/>
        </w:rPr>
        <w:t xml:space="preserve"> съдържащи се в опаковката, подписан от участника, съгласно чл. 47, ал. 3 от ППЗОП – свободен текст.</w:t>
      </w:r>
    </w:p>
    <w:p w14:paraId="78AEA808" w14:textId="68697FC9" w:rsidR="007D619A" w:rsidRPr="007D619A" w:rsidRDefault="00C35CB6" w:rsidP="00690385">
      <w:pPr>
        <w:tabs>
          <w:tab w:val="left" w:pos="1134"/>
        </w:tabs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3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 Единен европейски документ за обществени поръчки (ЕЕДОП)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в съответствие с изискванията на закона и документацията. Документът се представя в оригинал, подписан от участника/представляващото го лице 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(</w:t>
      </w:r>
      <w:r w:rsidR="007D619A" w:rsidRPr="007D619A">
        <w:rPr>
          <w:rFonts w:ascii="Verdana" w:hAnsi="Verdana" w:cs="Times New Roman"/>
          <w:b/>
          <w:i/>
          <w:sz w:val="20"/>
          <w:szCs w:val="20"/>
          <w:lang w:val="bg-BG"/>
        </w:rPr>
        <w:t>Приложение № 1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).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lastRenderedPageBreak/>
        <w:t>Стандартният образец на ЕЕДОП може да бъде намерен на електронната страница на Агенция по обществените поръчки:</w:t>
      </w:r>
      <w:r w:rsidRPr="00C35CB6">
        <w:t xml:space="preserve"> </w:t>
      </w:r>
      <w:hyperlink r:id="rId8" w:history="1">
        <w:r w:rsidRPr="007F5C0D">
          <w:rPr>
            <w:rStyle w:val="a5"/>
            <w:rFonts w:ascii="Verdana" w:hAnsi="Verdana" w:cs="Times New Roman"/>
            <w:sz w:val="20"/>
            <w:szCs w:val="20"/>
            <w:lang w:val="bg-BG"/>
          </w:rPr>
          <w:t>http://www.aop.bg/fckedit2/user/File/bg/obraztzi/ESPD-BG1.doc</w:t>
        </w:r>
      </w:hyperlink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57138DF" w14:textId="04E6BFD6" w:rsidR="007D619A" w:rsidRPr="007D619A" w:rsidRDefault="00C35CB6" w:rsidP="00690385">
      <w:pPr>
        <w:suppressAutoHyphens/>
        <w:spacing w:after="12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 Доказателства за извършените </w:t>
      </w:r>
      <w:r w:rsidR="00BD388D">
        <w:rPr>
          <w:rFonts w:ascii="Verdana" w:hAnsi="Verdana" w:cs="Times New Roman"/>
          <w:b/>
          <w:sz w:val="20"/>
          <w:szCs w:val="20"/>
          <w:lang w:val="bg-BG"/>
        </w:rPr>
        <w:t>услуги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, посочени в списъка в ЕЕДОП.</w:t>
      </w:r>
    </w:p>
    <w:p w14:paraId="339F7AC2" w14:textId="41E33276" w:rsidR="007D619A" w:rsidRPr="007D619A" w:rsidRDefault="00C35CB6" w:rsidP="00690385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. Документи за доказване на предприети мерки за надеждност,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когато е приложимо;</w:t>
      </w:r>
    </w:p>
    <w:p w14:paraId="083543B7" w14:textId="562CEF49" w:rsidR="007D619A" w:rsidRPr="007D619A" w:rsidRDefault="008C173E" w:rsidP="00690385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Документ, по чл. 37, ал. 4 от ППЗОП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, когато участникът е обединение, което не е юридическо лице.</w:t>
      </w:r>
    </w:p>
    <w:p w14:paraId="7E7371C8" w14:textId="61C05EFC" w:rsidR="007D619A" w:rsidRPr="007D619A" w:rsidRDefault="008C173E" w:rsidP="00690385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Доказателство за поетите от подизпълнителя задължения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(когато е приложимо).</w:t>
      </w:r>
    </w:p>
    <w:p w14:paraId="2DE10F9A" w14:textId="3DE11678" w:rsidR="007D619A" w:rsidRPr="008C173E" w:rsidRDefault="008C173E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8C173E">
        <w:rPr>
          <w:rFonts w:ascii="Verdana" w:hAnsi="Verdana" w:cs="Times New Roman"/>
          <w:b/>
          <w:sz w:val="20"/>
          <w:szCs w:val="20"/>
          <w:lang w:val="bg-BG"/>
        </w:rPr>
        <w:tab/>
      </w:r>
      <w:r w:rsidRPr="008C173E"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8C173E">
        <w:rPr>
          <w:rFonts w:ascii="Verdana" w:hAnsi="Verdana" w:cs="Times New Roman"/>
          <w:b/>
          <w:sz w:val="20"/>
          <w:szCs w:val="20"/>
          <w:lang w:val="bg-BG"/>
        </w:rPr>
        <w:t>3.</w:t>
      </w:r>
      <w:r w:rsidRPr="008C173E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7D619A" w:rsidRPr="008C173E">
        <w:rPr>
          <w:rFonts w:ascii="Verdana" w:hAnsi="Verdana" w:cs="Times New Roman"/>
          <w:b/>
          <w:sz w:val="20"/>
          <w:szCs w:val="20"/>
          <w:lang w:val="bg-BG"/>
        </w:rPr>
        <w:t>. Техническо предложение</w:t>
      </w:r>
      <w:r w:rsidRPr="008C173E">
        <w:rPr>
          <w:rFonts w:ascii="Verdana" w:hAnsi="Verdana" w:cs="Times New Roman"/>
          <w:b/>
          <w:sz w:val="20"/>
          <w:szCs w:val="20"/>
          <w:lang w:val="bg-BG"/>
        </w:rPr>
        <w:t xml:space="preserve">, </w:t>
      </w:r>
      <w:r w:rsidR="007D619A" w:rsidRPr="008C173E">
        <w:rPr>
          <w:rFonts w:ascii="Verdana" w:hAnsi="Verdana" w:cs="Times New Roman"/>
          <w:sz w:val="20"/>
          <w:szCs w:val="20"/>
          <w:lang w:val="bg-BG"/>
        </w:rPr>
        <w:t>съдържащо:</w:t>
      </w:r>
    </w:p>
    <w:p w14:paraId="2E2049DC" w14:textId="4C0EE15C" w:rsidR="007D619A" w:rsidRPr="007D619A" w:rsidRDefault="008C173E" w:rsidP="00690385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.1. Документ за упълномощаване,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когато лицето, което подава офертата, не е законният представител на участника, с нотариална заверка съгласно изискванията чл. 18, ал. 2 от АПК.</w:t>
      </w:r>
    </w:p>
    <w:p w14:paraId="27BE3844" w14:textId="708FF46E" w:rsidR="007D619A" w:rsidRPr="007D619A" w:rsidRDefault="008C173E" w:rsidP="00690385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.2. Предложение за изпълнение на поръчката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в съответствие с техническите спецификации и изискванията на възложителя</w:t>
      </w:r>
      <w:r w:rsidR="007D619A" w:rsidRPr="007D619A">
        <w:rPr>
          <w:rFonts w:ascii="Verdana" w:eastAsia="Batang" w:hAnsi="Verdana" w:cs="Times New Roman"/>
          <w:b/>
          <w:bCs/>
          <w:kern w:val="2"/>
          <w:sz w:val="20"/>
          <w:szCs w:val="20"/>
          <w:lang w:val="bg-BG" w:eastAsia="zh-CN"/>
        </w:rPr>
        <w:t xml:space="preserve">, </w:t>
      </w:r>
      <w:r w:rsidR="007D619A" w:rsidRPr="007D619A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съгласно приложени</w:t>
      </w:r>
      <w:r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ят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D619A" w:rsidRPr="007D619A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към документацията образ</w:t>
      </w:r>
      <w:r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е</w:t>
      </w:r>
      <w:r w:rsidR="007D619A" w:rsidRPr="007D619A"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ц</w:t>
      </w:r>
      <w:r>
        <w:rPr>
          <w:rFonts w:ascii="Verdana" w:eastAsia="Batang" w:hAnsi="Verdana" w:cs="Times New Roman"/>
          <w:bCs/>
          <w:kern w:val="2"/>
          <w:sz w:val="20"/>
          <w:szCs w:val="20"/>
          <w:lang w:val="bg-BG" w:eastAsia="zh-CN"/>
        </w:rPr>
        <w:t>.</w:t>
      </w:r>
    </w:p>
    <w:p w14:paraId="47815D26" w14:textId="0509634F" w:rsidR="007D619A" w:rsidRPr="007D619A" w:rsidRDefault="008C173E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.3. Декларация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за съгласие с клаузите на приложения проект на договор</w:t>
      </w:r>
      <w:r>
        <w:rPr>
          <w:rFonts w:ascii="Verdana" w:hAnsi="Verdana" w:cs="Times New Roman"/>
          <w:b/>
          <w:sz w:val="20"/>
          <w:szCs w:val="20"/>
          <w:lang w:val="bg-BG"/>
        </w:rPr>
        <w:t>.</w:t>
      </w:r>
    </w:p>
    <w:p w14:paraId="48DF497B" w14:textId="43FA5109" w:rsidR="007D619A" w:rsidRPr="007D619A" w:rsidRDefault="008C173E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.4. Декларация 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>за срока на валидност на офертата</w:t>
      </w:r>
      <w:r>
        <w:rPr>
          <w:rFonts w:ascii="Verdana" w:hAnsi="Verdana" w:cs="Times New Roman"/>
          <w:sz w:val="20"/>
          <w:szCs w:val="20"/>
          <w:lang w:val="bg-BG"/>
        </w:rPr>
        <w:t>.</w:t>
      </w:r>
    </w:p>
    <w:p w14:paraId="3912C2E2" w14:textId="2027FD4D" w:rsidR="007D619A" w:rsidRPr="007D619A" w:rsidRDefault="008C173E" w:rsidP="00690385">
      <w:pPr>
        <w:spacing w:after="0" w:line="240" w:lineRule="auto"/>
        <w:ind w:firstLine="709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>
        <w:rPr>
          <w:rFonts w:ascii="Verdana" w:hAnsi="Verdana" w:cs="Times New Roman"/>
          <w:b/>
          <w:sz w:val="20"/>
          <w:szCs w:val="20"/>
          <w:lang w:val="bg-BG"/>
        </w:rPr>
        <w:tab/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3.</w:t>
      </w:r>
      <w:r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. </w:t>
      </w:r>
      <w:r w:rsidR="007D619A" w:rsidRPr="007D619A">
        <w:rPr>
          <w:rFonts w:ascii="Verdana" w:hAnsi="Verdana" w:cs="Times New Roman"/>
          <w:b/>
          <w:sz w:val="20"/>
          <w:szCs w:val="20"/>
          <w:u w:val="single"/>
          <w:lang w:val="bg-BG"/>
        </w:rPr>
        <w:t>Ценово предложение</w:t>
      </w:r>
      <w:r w:rsidR="007D619A" w:rsidRPr="007D619A">
        <w:rPr>
          <w:rFonts w:ascii="Verdana" w:hAnsi="Verdana" w:cs="Times New Roman"/>
          <w:sz w:val="20"/>
          <w:szCs w:val="20"/>
          <w:u w:val="single"/>
          <w:lang w:val="bg-BG"/>
        </w:rPr>
        <w:t xml:space="preserve"> -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 изготвя се и се представя в съответствие с приложения към документацията образец в отделен запечатан, непрозрачен плик с надпис: </w:t>
      </w:r>
      <w:r w:rsidR="007D619A" w:rsidRPr="007D619A">
        <w:rPr>
          <w:rFonts w:ascii="Verdana" w:hAnsi="Verdana" w:cs="Times New Roman"/>
          <w:b/>
          <w:sz w:val="20"/>
          <w:szCs w:val="20"/>
          <w:u w:val="single"/>
          <w:lang w:val="bg-BG"/>
        </w:rPr>
        <w:t>„Предлагани ценови параметри”</w:t>
      </w:r>
      <w:r w:rsidR="007D619A" w:rsidRPr="007D619A">
        <w:rPr>
          <w:rFonts w:ascii="Verdana" w:hAnsi="Verdana" w:cs="Times New Roman"/>
          <w:sz w:val="20"/>
          <w:szCs w:val="20"/>
          <w:lang w:val="bg-BG"/>
        </w:rPr>
        <w:t xml:space="preserve">, съгласно чл. 47, ал. 3 от ППЗОП. </w:t>
      </w:r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Пликът, съдържащ ценовото </w:t>
      </w:r>
      <w:proofErr w:type="spellStart"/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>предложениe</w:t>
      </w:r>
      <w:proofErr w:type="spellEnd"/>
      <w:r w:rsidR="007D619A"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 на участника, се поставя в опаковката.</w:t>
      </w:r>
    </w:p>
    <w:p w14:paraId="1FCB31B8" w14:textId="77777777" w:rsidR="007D619A" w:rsidRP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513F1C9C" w14:textId="77777777" w:rsidR="007D619A" w:rsidRDefault="007D619A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619A">
        <w:rPr>
          <w:rFonts w:ascii="Verdana" w:hAnsi="Verdana" w:cs="Times New Roman"/>
          <w:sz w:val="20"/>
          <w:szCs w:val="20"/>
          <w:lang w:val="bg-BG"/>
        </w:rPr>
        <w:t>Всички копия на документи, съдържащи се в офертата, следва да бъдат заверени</w:t>
      </w:r>
      <w:r w:rsidRPr="007D619A">
        <w:rPr>
          <w:rFonts w:ascii="Verdana" w:hAnsi="Verdana" w:cs="Times New Roman"/>
          <w:b/>
          <w:sz w:val="20"/>
          <w:szCs w:val="20"/>
          <w:lang w:val="bg-BG"/>
        </w:rPr>
        <w:t xml:space="preserve"> с гриф „Вярно с оригинала” и подпис на заверяващото го лице</w:t>
      </w:r>
      <w:r w:rsidRPr="007D619A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235A32B6" w14:textId="77777777" w:rsidR="00BD388D" w:rsidRDefault="00BD388D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56582BE9" w14:textId="0F99618A" w:rsidR="00BD388D" w:rsidRPr="007D619A" w:rsidRDefault="00BD388D" w:rsidP="00690385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При подготовката на офертите си, участниците са длъжни да спазват изискванията на Възложителя и приложените образци към настоящата документация за участие. </w:t>
      </w:r>
    </w:p>
    <w:sectPr w:rsidR="00BD388D" w:rsidRPr="007D619A" w:rsidSect="007D619A">
      <w:headerReference w:type="default" r:id="rId9"/>
      <w:footerReference w:type="default" r:id="rId10"/>
      <w:pgSz w:w="11906" w:h="16838" w:code="9"/>
      <w:pgMar w:top="1134" w:right="1134" w:bottom="1134" w:left="1418" w:header="6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0871" w14:textId="77777777" w:rsidR="0063620F" w:rsidRDefault="0063620F" w:rsidP="00B15A1F">
      <w:pPr>
        <w:spacing w:after="0" w:line="240" w:lineRule="auto"/>
      </w:pPr>
      <w:r>
        <w:separator/>
      </w:r>
    </w:p>
  </w:endnote>
  <w:endnote w:type="continuationSeparator" w:id="0">
    <w:p w14:paraId="77C00545" w14:textId="77777777" w:rsidR="0063620F" w:rsidRDefault="0063620F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240EB1B" w14:textId="77777777" w:rsidR="00B242F2" w:rsidRDefault="00B242F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71C8F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71C8F">
              <w:rPr>
                <w:b/>
                <w:bCs/>
                <w:noProof/>
                <w:sz w:val="16"/>
                <w:szCs w:val="16"/>
              </w:rPr>
              <w:t>7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884492" w14:textId="77777777" w:rsidR="00B242F2" w:rsidRPr="0097516C" w:rsidRDefault="00B242F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39BB861B" w14:textId="77777777" w:rsidR="00B242F2" w:rsidRPr="0097516C" w:rsidRDefault="00B242F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6A149751" w14:textId="77777777" w:rsidR="00B242F2" w:rsidRPr="009E17CB" w:rsidRDefault="00B242F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32FDF2A4" w14:textId="77777777" w:rsidR="00B242F2" w:rsidRDefault="00B24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5EC8" w14:textId="77777777" w:rsidR="0063620F" w:rsidRDefault="0063620F" w:rsidP="00B15A1F">
      <w:pPr>
        <w:spacing w:after="0" w:line="240" w:lineRule="auto"/>
      </w:pPr>
      <w:r>
        <w:separator/>
      </w:r>
    </w:p>
  </w:footnote>
  <w:footnote w:type="continuationSeparator" w:id="0">
    <w:p w14:paraId="358E258A" w14:textId="77777777" w:rsidR="0063620F" w:rsidRDefault="0063620F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53AF" w14:textId="77777777" w:rsidR="00B242F2" w:rsidRDefault="00B242F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175B27C8" wp14:editId="1F11DC4E">
          <wp:extent cx="1009650" cy="1129665"/>
          <wp:effectExtent l="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0B3D5C1A" wp14:editId="4C031B06">
          <wp:extent cx="730885" cy="720090"/>
          <wp:effectExtent l="0" t="0" r="0" b="3810"/>
          <wp:docPr id="14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2E309D42" wp14:editId="1A0DABEB">
          <wp:extent cx="1013460" cy="929640"/>
          <wp:effectExtent l="0" t="0" r="0" b="381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0703" w14:textId="77777777" w:rsidR="00B242F2" w:rsidRPr="00F17DCE" w:rsidRDefault="00B242F2" w:rsidP="00A34AC2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8BA"/>
    <w:multiLevelType w:val="hybridMultilevel"/>
    <w:tmpl w:val="65E4366E"/>
    <w:lvl w:ilvl="0" w:tplc="04020001">
      <w:start w:val="1"/>
      <w:numFmt w:val="bullet"/>
      <w:lvlText w:val="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A52D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58235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F4CC2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AE4E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08479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5696D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78DA7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CC4D5A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36DC"/>
    <w:multiLevelType w:val="hybridMultilevel"/>
    <w:tmpl w:val="8EA86C38"/>
    <w:lvl w:ilvl="0" w:tplc="17686188">
      <w:start w:val="4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E77B6C"/>
    <w:multiLevelType w:val="hybridMultilevel"/>
    <w:tmpl w:val="D098043A"/>
    <w:lvl w:ilvl="0" w:tplc="6C2C5D10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40765"/>
    <w:multiLevelType w:val="hybridMultilevel"/>
    <w:tmpl w:val="D3ACED76"/>
    <w:lvl w:ilvl="0" w:tplc="22D8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A390B"/>
    <w:multiLevelType w:val="multilevel"/>
    <w:tmpl w:val="F63628C4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  <w:u w:val="none"/>
      </w:rPr>
    </w:lvl>
  </w:abstractNum>
  <w:abstractNum w:abstractNumId="14" w15:restartNumberingAfterBreak="0">
    <w:nsid w:val="233563FA"/>
    <w:multiLevelType w:val="hybridMultilevel"/>
    <w:tmpl w:val="99001F20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4A537A"/>
    <w:multiLevelType w:val="multilevel"/>
    <w:tmpl w:val="8E38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5" w15:restartNumberingAfterBreak="0">
    <w:nsid w:val="4482610A"/>
    <w:multiLevelType w:val="hybridMultilevel"/>
    <w:tmpl w:val="DE863A2E"/>
    <w:lvl w:ilvl="0" w:tplc="4B383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64B7"/>
    <w:multiLevelType w:val="hybridMultilevel"/>
    <w:tmpl w:val="CDAAA100"/>
    <w:lvl w:ilvl="0" w:tplc="FBC8D7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C33A8"/>
    <w:multiLevelType w:val="hybridMultilevel"/>
    <w:tmpl w:val="BEFE9E72"/>
    <w:lvl w:ilvl="0" w:tplc="0EE02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B3C81"/>
    <w:multiLevelType w:val="hybridMultilevel"/>
    <w:tmpl w:val="DC544536"/>
    <w:lvl w:ilvl="0" w:tplc="0402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2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AD6E82"/>
    <w:multiLevelType w:val="hybridMultilevel"/>
    <w:tmpl w:val="A4E44E12"/>
    <w:lvl w:ilvl="0" w:tplc="9E0CAA7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218DF"/>
    <w:multiLevelType w:val="hybridMultilevel"/>
    <w:tmpl w:val="838CF902"/>
    <w:lvl w:ilvl="0" w:tplc="E3EEE1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9"/>
  </w:num>
  <w:num w:numId="5">
    <w:abstractNumId w:val="18"/>
  </w:num>
  <w:num w:numId="6">
    <w:abstractNumId w:val="29"/>
  </w:num>
  <w:num w:numId="7">
    <w:abstractNumId w:val="38"/>
  </w:num>
  <w:num w:numId="8">
    <w:abstractNumId w:val="23"/>
  </w:num>
  <w:num w:numId="9">
    <w:abstractNumId w:val="40"/>
  </w:num>
  <w:num w:numId="10">
    <w:abstractNumId w:val="30"/>
  </w:num>
  <w:num w:numId="11">
    <w:abstractNumId w:val="34"/>
  </w:num>
  <w:num w:numId="12">
    <w:abstractNumId w:val="21"/>
  </w:num>
  <w:num w:numId="13">
    <w:abstractNumId w:val="6"/>
  </w:num>
  <w:num w:numId="14">
    <w:abstractNumId w:val="24"/>
  </w:num>
  <w:num w:numId="15">
    <w:abstractNumId w:val="39"/>
  </w:num>
  <w:num w:numId="16">
    <w:abstractNumId w:val="19"/>
  </w:num>
  <w:num w:numId="17">
    <w:abstractNumId w:val="3"/>
  </w:num>
  <w:num w:numId="18">
    <w:abstractNumId w:val="1"/>
  </w:num>
  <w:num w:numId="19">
    <w:abstractNumId w:val="32"/>
  </w:num>
  <w:num w:numId="20">
    <w:abstractNumId w:val="8"/>
  </w:num>
  <w:num w:numId="21">
    <w:abstractNumId w:val="28"/>
  </w:num>
  <w:num w:numId="22">
    <w:abstractNumId w:val="20"/>
  </w:num>
  <w:num w:numId="23">
    <w:abstractNumId w:val="16"/>
  </w:num>
  <w:num w:numId="24">
    <w:abstractNumId w:val="5"/>
  </w:num>
  <w:num w:numId="25">
    <w:abstractNumId w:val="7"/>
  </w:num>
  <w:num w:numId="26">
    <w:abstractNumId w:val="11"/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27"/>
  </w:num>
  <w:num w:numId="31">
    <w:abstractNumId w:val="25"/>
  </w:num>
  <w:num w:numId="32">
    <w:abstractNumId w:val="14"/>
  </w:num>
  <w:num w:numId="33">
    <w:abstractNumId w:val="33"/>
  </w:num>
  <w:num w:numId="34">
    <w:abstractNumId w:val="26"/>
  </w:num>
  <w:num w:numId="35">
    <w:abstractNumId w:val="31"/>
  </w:num>
  <w:num w:numId="36">
    <w:abstractNumId w:val="36"/>
  </w:num>
  <w:num w:numId="37">
    <w:abstractNumId w:val="35"/>
  </w:num>
  <w:num w:numId="38">
    <w:abstractNumId w:val="0"/>
  </w:num>
  <w:num w:numId="39">
    <w:abstractNumId w:val="4"/>
  </w:num>
  <w:num w:numId="40">
    <w:abstractNumId w:val="12"/>
  </w:num>
  <w:num w:numId="41">
    <w:abstractNumId w:val="17"/>
  </w:num>
  <w:num w:numId="42">
    <w:abstractNumId w:val="41"/>
  </w:num>
  <w:num w:numId="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0F3E"/>
    <w:rsid w:val="000023F7"/>
    <w:rsid w:val="00006115"/>
    <w:rsid w:val="00015ACD"/>
    <w:rsid w:val="000235C9"/>
    <w:rsid w:val="00023825"/>
    <w:rsid w:val="00030A20"/>
    <w:rsid w:val="00031C8E"/>
    <w:rsid w:val="00033A90"/>
    <w:rsid w:val="00034C91"/>
    <w:rsid w:val="00036E6D"/>
    <w:rsid w:val="00042A62"/>
    <w:rsid w:val="000572F1"/>
    <w:rsid w:val="00060137"/>
    <w:rsid w:val="0006324D"/>
    <w:rsid w:val="00063961"/>
    <w:rsid w:val="00064D52"/>
    <w:rsid w:val="00065293"/>
    <w:rsid w:val="00067826"/>
    <w:rsid w:val="00070297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806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5234"/>
    <w:rsid w:val="000C7F38"/>
    <w:rsid w:val="000D0008"/>
    <w:rsid w:val="000D1191"/>
    <w:rsid w:val="000D39D0"/>
    <w:rsid w:val="000D4863"/>
    <w:rsid w:val="000D76D0"/>
    <w:rsid w:val="000E08E7"/>
    <w:rsid w:val="000E30B3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5A9E"/>
    <w:rsid w:val="00116205"/>
    <w:rsid w:val="00116767"/>
    <w:rsid w:val="00127BEA"/>
    <w:rsid w:val="00134EFF"/>
    <w:rsid w:val="001442AB"/>
    <w:rsid w:val="00145778"/>
    <w:rsid w:val="00154F6E"/>
    <w:rsid w:val="00156EFE"/>
    <w:rsid w:val="001610EA"/>
    <w:rsid w:val="001651E4"/>
    <w:rsid w:val="00172ECA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168F"/>
    <w:rsid w:val="001A2C5D"/>
    <w:rsid w:val="001A3642"/>
    <w:rsid w:val="001A5D31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55E2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279D3"/>
    <w:rsid w:val="00230A42"/>
    <w:rsid w:val="002318CD"/>
    <w:rsid w:val="00232B08"/>
    <w:rsid w:val="00233668"/>
    <w:rsid w:val="00234014"/>
    <w:rsid w:val="00234AA1"/>
    <w:rsid w:val="00236BBA"/>
    <w:rsid w:val="0023760F"/>
    <w:rsid w:val="00240613"/>
    <w:rsid w:val="00245F4F"/>
    <w:rsid w:val="0024650E"/>
    <w:rsid w:val="002467E3"/>
    <w:rsid w:val="002512E7"/>
    <w:rsid w:val="002526DD"/>
    <w:rsid w:val="002534A7"/>
    <w:rsid w:val="002600F0"/>
    <w:rsid w:val="00261705"/>
    <w:rsid w:val="00261E07"/>
    <w:rsid w:val="00265CFF"/>
    <w:rsid w:val="00267FAF"/>
    <w:rsid w:val="00271152"/>
    <w:rsid w:val="0027338A"/>
    <w:rsid w:val="002741DA"/>
    <w:rsid w:val="0027427D"/>
    <w:rsid w:val="00275A25"/>
    <w:rsid w:val="002765EA"/>
    <w:rsid w:val="00280FF8"/>
    <w:rsid w:val="002813A9"/>
    <w:rsid w:val="002826DD"/>
    <w:rsid w:val="0029692F"/>
    <w:rsid w:val="002A69E1"/>
    <w:rsid w:val="002A6EB6"/>
    <w:rsid w:val="002A754D"/>
    <w:rsid w:val="002B07FB"/>
    <w:rsid w:val="002B4964"/>
    <w:rsid w:val="002C5129"/>
    <w:rsid w:val="002C6207"/>
    <w:rsid w:val="002D1AF0"/>
    <w:rsid w:val="002D2024"/>
    <w:rsid w:val="002D2701"/>
    <w:rsid w:val="002D2A0F"/>
    <w:rsid w:val="002D4079"/>
    <w:rsid w:val="002D713F"/>
    <w:rsid w:val="002E0D0E"/>
    <w:rsid w:val="002E2F7F"/>
    <w:rsid w:val="002E4EB2"/>
    <w:rsid w:val="002E7BFA"/>
    <w:rsid w:val="003004B2"/>
    <w:rsid w:val="00300F1C"/>
    <w:rsid w:val="00301235"/>
    <w:rsid w:val="0030153B"/>
    <w:rsid w:val="00305373"/>
    <w:rsid w:val="00307891"/>
    <w:rsid w:val="0031158B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55F17"/>
    <w:rsid w:val="00360493"/>
    <w:rsid w:val="00361C44"/>
    <w:rsid w:val="003625F2"/>
    <w:rsid w:val="00362940"/>
    <w:rsid w:val="003633BA"/>
    <w:rsid w:val="0036655C"/>
    <w:rsid w:val="00366CD7"/>
    <w:rsid w:val="00371C8F"/>
    <w:rsid w:val="00372729"/>
    <w:rsid w:val="003731C0"/>
    <w:rsid w:val="0037620C"/>
    <w:rsid w:val="0037700E"/>
    <w:rsid w:val="003860A6"/>
    <w:rsid w:val="0039193B"/>
    <w:rsid w:val="003A0A02"/>
    <w:rsid w:val="003A0D2F"/>
    <w:rsid w:val="003A1441"/>
    <w:rsid w:val="003A177E"/>
    <w:rsid w:val="003A7CFD"/>
    <w:rsid w:val="003C6F88"/>
    <w:rsid w:val="003C7447"/>
    <w:rsid w:val="003C7F5F"/>
    <w:rsid w:val="003D0B0E"/>
    <w:rsid w:val="003D0B77"/>
    <w:rsid w:val="003D1F7C"/>
    <w:rsid w:val="003D3D9E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2CA5"/>
    <w:rsid w:val="00454995"/>
    <w:rsid w:val="004550D6"/>
    <w:rsid w:val="00455521"/>
    <w:rsid w:val="0045647D"/>
    <w:rsid w:val="00456961"/>
    <w:rsid w:val="004574FC"/>
    <w:rsid w:val="00463081"/>
    <w:rsid w:val="00463D68"/>
    <w:rsid w:val="00472A14"/>
    <w:rsid w:val="00473DC1"/>
    <w:rsid w:val="00482F14"/>
    <w:rsid w:val="0048350B"/>
    <w:rsid w:val="004848CD"/>
    <w:rsid w:val="00490121"/>
    <w:rsid w:val="004918C1"/>
    <w:rsid w:val="00491CCC"/>
    <w:rsid w:val="00496D01"/>
    <w:rsid w:val="004A1604"/>
    <w:rsid w:val="004A2181"/>
    <w:rsid w:val="004A2E30"/>
    <w:rsid w:val="004A4915"/>
    <w:rsid w:val="004B251E"/>
    <w:rsid w:val="004B3249"/>
    <w:rsid w:val="004B4EFA"/>
    <w:rsid w:val="004C18C4"/>
    <w:rsid w:val="004C1E31"/>
    <w:rsid w:val="004C3123"/>
    <w:rsid w:val="004C62F5"/>
    <w:rsid w:val="004D3D65"/>
    <w:rsid w:val="004D4195"/>
    <w:rsid w:val="004D4848"/>
    <w:rsid w:val="004D4BD8"/>
    <w:rsid w:val="004D5F0E"/>
    <w:rsid w:val="004D6222"/>
    <w:rsid w:val="004E1DA8"/>
    <w:rsid w:val="004F0B1D"/>
    <w:rsid w:val="004F61E8"/>
    <w:rsid w:val="00501705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C7E"/>
    <w:rsid w:val="00526B13"/>
    <w:rsid w:val="00526EA0"/>
    <w:rsid w:val="00530651"/>
    <w:rsid w:val="00541836"/>
    <w:rsid w:val="00541E6C"/>
    <w:rsid w:val="005426F1"/>
    <w:rsid w:val="005442D4"/>
    <w:rsid w:val="00545362"/>
    <w:rsid w:val="00546D63"/>
    <w:rsid w:val="00553490"/>
    <w:rsid w:val="00553A01"/>
    <w:rsid w:val="00561FDE"/>
    <w:rsid w:val="005647C8"/>
    <w:rsid w:val="005658AB"/>
    <w:rsid w:val="005709FA"/>
    <w:rsid w:val="00577DD2"/>
    <w:rsid w:val="0058071A"/>
    <w:rsid w:val="00584B1B"/>
    <w:rsid w:val="00590D8C"/>
    <w:rsid w:val="005931B1"/>
    <w:rsid w:val="00593D55"/>
    <w:rsid w:val="005947B6"/>
    <w:rsid w:val="00596447"/>
    <w:rsid w:val="00596845"/>
    <w:rsid w:val="005A35EE"/>
    <w:rsid w:val="005A6CC3"/>
    <w:rsid w:val="005B42E4"/>
    <w:rsid w:val="005B4B64"/>
    <w:rsid w:val="005B6466"/>
    <w:rsid w:val="005C0870"/>
    <w:rsid w:val="005C4EA3"/>
    <w:rsid w:val="005D360A"/>
    <w:rsid w:val="005D49AD"/>
    <w:rsid w:val="005E559F"/>
    <w:rsid w:val="005E6B74"/>
    <w:rsid w:val="005F2A95"/>
    <w:rsid w:val="00601323"/>
    <w:rsid w:val="00602A10"/>
    <w:rsid w:val="00602B77"/>
    <w:rsid w:val="00612856"/>
    <w:rsid w:val="006139C5"/>
    <w:rsid w:val="0061563C"/>
    <w:rsid w:val="00621307"/>
    <w:rsid w:val="0063051F"/>
    <w:rsid w:val="0063620F"/>
    <w:rsid w:val="00636CFA"/>
    <w:rsid w:val="006404D0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069D"/>
    <w:rsid w:val="006C1CAA"/>
    <w:rsid w:val="006C3FA9"/>
    <w:rsid w:val="006C6808"/>
    <w:rsid w:val="006D2383"/>
    <w:rsid w:val="006E4C6A"/>
    <w:rsid w:val="006F1B2F"/>
    <w:rsid w:val="006F368A"/>
    <w:rsid w:val="006F7C57"/>
    <w:rsid w:val="00701D1E"/>
    <w:rsid w:val="007022E3"/>
    <w:rsid w:val="00717E7F"/>
    <w:rsid w:val="00724C7A"/>
    <w:rsid w:val="00730437"/>
    <w:rsid w:val="00731BD1"/>
    <w:rsid w:val="007361FC"/>
    <w:rsid w:val="00736350"/>
    <w:rsid w:val="0074118A"/>
    <w:rsid w:val="00742D22"/>
    <w:rsid w:val="007430BC"/>
    <w:rsid w:val="00750AB4"/>
    <w:rsid w:val="0075269A"/>
    <w:rsid w:val="00753700"/>
    <w:rsid w:val="007547C5"/>
    <w:rsid w:val="00755322"/>
    <w:rsid w:val="00755BBE"/>
    <w:rsid w:val="00756946"/>
    <w:rsid w:val="007618E0"/>
    <w:rsid w:val="0076435A"/>
    <w:rsid w:val="007645C5"/>
    <w:rsid w:val="00766588"/>
    <w:rsid w:val="00770BFD"/>
    <w:rsid w:val="00772B25"/>
    <w:rsid w:val="00776F10"/>
    <w:rsid w:val="0078001C"/>
    <w:rsid w:val="00780CE5"/>
    <w:rsid w:val="007824E0"/>
    <w:rsid w:val="007854FB"/>
    <w:rsid w:val="00791DC9"/>
    <w:rsid w:val="007A23EC"/>
    <w:rsid w:val="007A3D54"/>
    <w:rsid w:val="007B05E5"/>
    <w:rsid w:val="007B064F"/>
    <w:rsid w:val="007B0999"/>
    <w:rsid w:val="007B6610"/>
    <w:rsid w:val="007C3364"/>
    <w:rsid w:val="007C58DF"/>
    <w:rsid w:val="007C6538"/>
    <w:rsid w:val="007D619A"/>
    <w:rsid w:val="007D76EC"/>
    <w:rsid w:val="007E03E9"/>
    <w:rsid w:val="007E1849"/>
    <w:rsid w:val="007E2D27"/>
    <w:rsid w:val="007E3C3E"/>
    <w:rsid w:val="007E5CC0"/>
    <w:rsid w:val="007E7CCB"/>
    <w:rsid w:val="007F18BA"/>
    <w:rsid w:val="007F225D"/>
    <w:rsid w:val="007F45CB"/>
    <w:rsid w:val="00800247"/>
    <w:rsid w:val="00802BA7"/>
    <w:rsid w:val="00811D3E"/>
    <w:rsid w:val="00814A25"/>
    <w:rsid w:val="00815B80"/>
    <w:rsid w:val="0082299C"/>
    <w:rsid w:val="00826254"/>
    <w:rsid w:val="00831A04"/>
    <w:rsid w:val="00843399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21B7"/>
    <w:rsid w:val="008A2D99"/>
    <w:rsid w:val="008A4FC7"/>
    <w:rsid w:val="008A69EF"/>
    <w:rsid w:val="008A71C3"/>
    <w:rsid w:val="008B1E73"/>
    <w:rsid w:val="008B369F"/>
    <w:rsid w:val="008C173E"/>
    <w:rsid w:val="008C2025"/>
    <w:rsid w:val="008C419E"/>
    <w:rsid w:val="008C422F"/>
    <w:rsid w:val="008C5186"/>
    <w:rsid w:val="008C5D2F"/>
    <w:rsid w:val="008C5DA3"/>
    <w:rsid w:val="008C685A"/>
    <w:rsid w:val="008C6EB3"/>
    <w:rsid w:val="008C7737"/>
    <w:rsid w:val="008D43E7"/>
    <w:rsid w:val="008E1E55"/>
    <w:rsid w:val="008F0DDB"/>
    <w:rsid w:val="008F2028"/>
    <w:rsid w:val="008F4229"/>
    <w:rsid w:val="009008F0"/>
    <w:rsid w:val="009014B4"/>
    <w:rsid w:val="009118E6"/>
    <w:rsid w:val="0091374A"/>
    <w:rsid w:val="00915476"/>
    <w:rsid w:val="00916785"/>
    <w:rsid w:val="009215D1"/>
    <w:rsid w:val="00921DED"/>
    <w:rsid w:val="00922A96"/>
    <w:rsid w:val="009237C7"/>
    <w:rsid w:val="009253C5"/>
    <w:rsid w:val="009256EF"/>
    <w:rsid w:val="0093394C"/>
    <w:rsid w:val="00935929"/>
    <w:rsid w:val="0093666C"/>
    <w:rsid w:val="00947036"/>
    <w:rsid w:val="009509DF"/>
    <w:rsid w:val="009545B4"/>
    <w:rsid w:val="0095479D"/>
    <w:rsid w:val="00964E61"/>
    <w:rsid w:val="00965CFD"/>
    <w:rsid w:val="0097052F"/>
    <w:rsid w:val="00970801"/>
    <w:rsid w:val="0097163D"/>
    <w:rsid w:val="00974D5D"/>
    <w:rsid w:val="0097516C"/>
    <w:rsid w:val="00975E74"/>
    <w:rsid w:val="00976781"/>
    <w:rsid w:val="00976BFB"/>
    <w:rsid w:val="00982628"/>
    <w:rsid w:val="0098534B"/>
    <w:rsid w:val="00987057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1101"/>
    <w:rsid w:val="009B2640"/>
    <w:rsid w:val="009B4898"/>
    <w:rsid w:val="009C020F"/>
    <w:rsid w:val="009C16FC"/>
    <w:rsid w:val="009C20C7"/>
    <w:rsid w:val="009C2DD0"/>
    <w:rsid w:val="009C4C47"/>
    <w:rsid w:val="009D4412"/>
    <w:rsid w:val="009E0713"/>
    <w:rsid w:val="009E4088"/>
    <w:rsid w:val="009F0AA4"/>
    <w:rsid w:val="009F3D5D"/>
    <w:rsid w:val="009F4094"/>
    <w:rsid w:val="009F77C9"/>
    <w:rsid w:val="00A012C9"/>
    <w:rsid w:val="00A04983"/>
    <w:rsid w:val="00A05B8F"/>
    <w:rsid w:val="00A250ED"/>
    <w:rsid w:val="00A2570F"/>
    <w:rsid w:val="00A34AC2"/>
    <w:rsid w:val="00A36EF7"/>
    <w:rsid w:val="00A421EC"/>
    <w:rsid w:val="00A43E3E"/>
    <w:rsid w:val="00A47010"/>
    <w:rsid w:val="00A47066"/>
    <w:rsid w:val="00A521AC"/>
    <w:rsid w:val="00A52D71"/>
    <w:rsid w:val="00A5317F"/>
    <w:rsid w:val="00A604CD"/>
    <w:rsid w:val="00A623C6"/>
    <w:rsid w:val="00A660E1"/>
    <w:rsid w:val="00A717C8"/>
    <w:rsid w:val="00A82437"/>
    <w:rsid w:val="00A85DA9"/>
    <w:rsid w:val="00A8635C"/>
    <w:rsid w:val="00A87780"/>
    <w:rsid w:val="00A87EF2"/>
    <w:rsid w:val="00A96719"/>
    <w:rsid w:val="00AA1630"/>
    <w:rsid w:val="00AB0065"/>
    <w:rsid w:val="00AB02B8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166C2"/>
    <w:rsid w:val="00B16E64"/>
    <w:rsid w:val="00B2339D"/>
    <w:rsid w:val="00B242F2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47E94"/>
    <w:rsid w:val="00B533C1"/>
    <w:rsid w:val="00B5592C"/>
    <w:rsid w:val="00B63457"/>
    <w:rsid w:val="00B6445D"/>
    <w:rsid w:val="00B648C0"/>
    <w:rsid w:val="00B65128"/>
    <w:rsid w:val="00B66B5C"/>
    <w:rsid w:val="00B7012E"/>
    <w:rsid w:val="00B71F5C"/>
    <w:rsid w:val="00B7253E"/>
    <w:rsid w:val="00B774FC"/>
    <w:rsid w:val="00B852C1"/>
    <w:rsid w:val="00B8580C"/>
    <w:rsid w:val="00B86795"/>
    <w:rsid w:val="00B94B6F"/>
    <w:rsid w:val="00B975A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2BD5"/>
    <w:rsid w:val="00BB3E8E"/>
    <w:rsid w:val="00BB4E01"/>
    <w:rsid w:val="00BC05CF"/>
    <w:rsid w:val="00BC3ADB"/>
    <w:rsid w:val="00BC563B"/>
    <w:rsid w:val="00BD388D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241F"/>
    <w:rsid w:val="00C053F6"/>
    <w:rsid w:val="00C1066E"/>
    <w:rsid w:val="00C11540"/>
    <w:rsid w:val="00C1274F"/>
    <w:rsid w:val="00C13552"/>
    <w:rsid w:val="00C202EB"/>
    <w:rsid w:val="00C21D1D"/>
    <w:rsid w:val="00C23653"/>
    <w:rsid w:val="00C31E9C"/>
    <w:rsid w:val="00C346A2"/>
    <w:rsid w:val="00C34CAE"/>
    <w:rsid w:val="00C35CB6"/>
    <w:rsid w:val="00C41320"/>
    <w:rsid w:val="00C42B81"/>
    <w:rsid w:val="00C45E40"/>
    <w:rsid w:val="00C46508"/>
    <w:rsid w:val="00C5761A"/>
    <w:rsid w:val="00C66A6C"/>
    <w:rsid w:val="00C67B3C"/>
    <w:rsid w:val="00C70CCA"/>
    <w:rsid w:val="00C70E4D"/>
    <w:rsid w:val="00C72960"/>
    <w:rsid w:val="00C76841"/>
    <w:rsid w:val="00C77AF7"/>
    <w:rsid w:val="00C77B9D"/>
    <w:rsid w:val="00C832AC"/>
    <w:rsid w:val="00C912F1"/>
    <w:rsid w:val="00C91F20"/>
    <w:rsid w:val="00C922B3"/>
    <w:rsid w:val="00C931CE"/>
    <w:rsid w:val="00C93F6B"/>
    <w:rsid w:val="00CA1D0D"/>
    <w:rsid w:val="00CA469C"/>
    <w:rsid w:val="00CA5315"/>
    <w:rsid w:val="00CA5360"/>
    <w:rsid w:val="00CB0B83"/>
    <w:rsid w:val="00CB28E5"/>
    <w:rsid w:val="00CB2B93"/>
    <w:rsid w:val="00CB4078"/>
    <w:rsid w:val="00CB53F2"/>
    <w:rsid w:val="00CC3BE9"/>
    <w:rsid w:val="00CC501D"/>
    <w:rsid w:val="00CD4DBD"/>
    <w:rsid w:val="00CD584D"/>
    <w:rsid w:val="00CD6378"/>
    <w:rsid w:val="00CD698A"/>
    <w:rsid w:val="00CD7A74"/>
    <w:rsid w:val="00CE0020"/>
    <w:rsid w:val="00CE0230"/>
    <w:rsid w:val="00CE4B6A"/>
    <w:rsid w:val="00CF2CFB"/>
    <w:rsid w:val="00D00420"/>
    <w:rsid w:val="00D01023"/>
    <w:rsid w:val="00D01DD6"/>
    <w:rsid w:val="00D148EC"/>
    <w:rsid w:val="00D15947"/>
    <w:rsid w:val="00D17764"/>
    <w:rsid w:val="00D23383"/>
    <w:rsid w:val="00D24215"/>
    <w:rsid w:val="00D302C0"/>
    <w:rsid w:val="00D34286"/>
    <w:rsid w:val="00D404B8"/>
    <w:rsid w:val="00D40CFD"/>
    <w:rsid w:val="00D42B91"/>
    <w:rsid w:val="00D441D4"/>
    <w:rsid w:val="00D44FCF"/>
    <w:rsid w:val="00D451AF"/>
    <w:rsid w:val="00D47B19"/>
    <w:rsid w:val="00D47F02"/>
    <w:rsid w:val="00D530E1"/>
    <w:rsid w:val="00D53B47"/>
    <w:rsid w:val="00D54445"/>
    <w:rsid w:val="00D57A3F"/>
    <w:rsid w:val="00D61F2A"/>
    <w:rsid w:val="00D63626"/>
    <w:rsid w:val="00D71420"/>
    <w:rsid w:val="00D71E88"/>
    <w:rsid w:val="00D74ACC"/>
    <w:rsid w:val="00D837DC"/>
    <w:rsid w:val="00D8791C"/>
    <w:rsid w:val="00D9329F"/>
    <w:rsid w:val="00D95965"/>
    <w:rsid w:val="00D95A65"/>
    <w:rsid w:val="00D96316"/>
    <w:rsid w:val="00D97B1C"/>
    <w:rsid w:val="00DA11F4"/>
    <w:rsid w:val="00DA191E"/>
    <w:rsid w:val="00DA3F94"/>
    <w:rsid w:val="00DA5206"/>
    <w:rsid w:val="00DA5652"/>
    <w:rsid w:val="00DA7D1B"/>
    <w:rsid w:val="00DB0576"/>
    <w:rsid w:val="00DB095B"/>
    <w:rsid w:val="00DB405A"/>
    <w:rsid w:val="00DB603B"/>
    <w:rsid w:val="00DB693A"/>
    <w:rsid w:val="00DC1B52"/>
    <w:rsid w:val="00DC308D"/>
    <w:rsid w:val="00DC32A0"/>
    <w:rsid w:val="00DC76B9"/>
    <w:rsid w:val="00DD268D"/>
    <w:rsid w:val="00DD3D1B"/>
    <w:rsid w:val="00DD7268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53DF"/>
    <w:rsid w:val="00E27231"/>
    <w:rsid w:val="00E31216"/>
    <w:rsid w:val="00E31EB4"/>
    <w:rsid w:val="00E32AF3"/>
    <w:rsid w:val="00E32DFC"/>
    <w:rsid w:val="00E41D27"/>
    <w:rsid w:val="00E443E2"/>
    <w:rsid w:val="00E4519C"/>
    <w:rsid w:val="00E4658C"/>
    <w:rsid w:val="00E52E03"/>
    <w:rsid w:val="00E54009"/>
    <w:rsid w:val="00E60A4E"/>
    <w:rsid w:val="00E661C1"/>
    <w:rsid w:val="00E70013"/>
    <w:rsid w:val="00E716F6"/>
    <w:rsid w:val="00E73627"/>
    <w:rsid w:val="00E764CC"/>
    <w:rsid w:val="00E80D77"/>
    <w:rsid w:val="00E821F2"/>
    <w:rsid w:val="00E868D2"/>
    <w:rsid w:val="00E90CBD"/>
    <w:rsid w:val="00E96FBB"/>
    <w:rsid w:val="00EA253E"/>
    <w:rsid w:val="00EA46A8"/>
    <w:rsid w:val="00EA4FC0"/>
    <w:rsid w:val="00EA5137"/>
    <w:rsid w:val="00EA6E13"/>
    <w:rsid w:val="00EB49E1"/>
    <w:rsid w:val="00EB4C13"/>
    <w:rsid w:val="00EB5279"/>
    <w:rsid w:val="00ED093F"/>
    <w:rsid w:val="00ED48A9"/>
    <w:rsid w:val="00EE308D"/>
    <w:rsid w:val="00EE5345"/>
    <w:rsid w:val="00EE56C1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4046"/>
    <w:rsid w:val="00F174D0"/>
    <w:rsid w:val="00F20B94"/>
    <w:rsid w:val="00F20ECD"/>
    <w:rsid w:val="00F21D4D"/>
    <w:rsid w:val="00F25CA5"/>
    <w:rsid w:val="00F31B59"/>
    <w:rsid w:val="00F33C31"/>
    <w:rsid w:val="00F37249"/>
    <w:rsid w:val="00F401AB"/>
    <w:rsid w:val="00F45EEC"/>
    <w:rsid w:val="00F53643"/>
    <w:rsid w:val="00F5508F"/>
    <w:rsid w:val="00F550EB"/>
    <w:rsid w:val="00F5510A"/>
    <w:rsid w:val="00F56700"/>
    <w:rsid w:val="00F63721"/>
    <w:rsid w:val="00F6433D"/>
    <w:rsid w:val="00F747AE"/>
    <w:rsid w:val="00F75363"/>
    <w:rsid w:val="00F7765E"/>
    <w:rsid w:val="00F81736"/>
    <w:rsid w:val="00F8237E"/>
    <w:rsid w:val="00F830EE"/>
    <w:rsid w:val="00F92BAC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f6">
    <w:name w:val="page number"/>
    <w:basedOn w:val="a0"/>
    <w:rsid w:val="009C16FC"/>
  </w:style>
  <w:style w:type="table" w:customStyle="1" w:styleId="TableGrid">
    <w:name w:val="TableGrid"/>
    <w:rsid w:val="00F747AE"/>
    <w:pPr>
      <w:spacing w:after="0" w:line="240" w:lineRule="auto"/>
    </w:pPr>
    <w:rPr>
      <w:rFonts w:eastAsia="Times New Roman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2">
    <w:name w:val="Body Text Indent 3"/>
    <w:basedOn w:val="a"/>
    <w:link w:val="33"/>
    <w:rsid w:val="007D6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ен текст с отстъп 3 Знак"/>
    <w:basedOn w:val="a0"/>
    <w:link w:val="32"/>
    <w:rsid w:val="007D61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Body Text"/>
    <w:basedOn w:val="a"/>
    <w:link w:val="af8"/>
    <w:uiPriority w:val="1"/>
    <w:qFormat/>
    <w:rsid w:val="007D6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8">
    <w:name w:val="Основен текст Знак"/>
    <w:basedOn w:val="a0"/>
    <w:link w:val="af7"/>
    <w:uiPriority w:val="1"/>
    <w:rsid w:val="007D619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obraztzi/ESPD-BG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3DED-8AAF-441C-8F57-F58D8B6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22</cp:revision>
  <cp:lastPrinted>2016-04-14T13:15:00Z</cp:lastPrinted>
  <dcterms:created xsi:type="dcterms:W3CDTF">2016-11-24T13:16:00Z</dcterms:created>
  <dcterms:modified xsi:type="dcterms:W3CDTF">2017-03-09T08:31:00Z</dcterms:modified>
</cp:coreProperties>
</file>