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0E1B" w14:textId="77777777" w:rsidR="009650A8" w:rsidRDefault="009650A8" w:rsidP="009650A8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МЕТОДИКА ЗА ОПРЕДЕЛЯНЕ НА КОМПЛЕКСНАТА ОЦЕНКА НА ОФЕРТИТЕ</w:t>
      </w:r>
    </w:p>
    <w:p w14:paraId="4ED303BD" w14:textId="77777777" w:rsidR="009650A8" w:rsidRDefault="009650A8" w:rsidP="009650A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КРИТЕРИИ, ПОКАЗАТЕЛИ, ОТНОСИТЕЛНАТА ИМ ТЕЖЕСТ И МЕТОДИКА ЗА ОПРЕДЕЛЯНЕ НА КОМПЛЕКСНАТА ОЦЕНКА НА ОФЕРТИТЕ</w:t>
      </w:r>
    </w:p>
    <w:p w14:paraId="10435316" w14:textId="77777777" w:rsidR="009650A8" w:rsidRDefault="009650A8" w:rsidP="009650A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01D73C47" w14:textId="77777777" w:rsidR="009650A8" w:rsidRDefault="009650A8" w:rsidP="009650A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I. Същност.</w:t>
      </w:r>
    </w:p>
    <w:p w14:paraId="393015A2" w14:textId="77777777" w:rsidR="009650A8" w:rsidRDefault="009650A8" w:rsidP="009650A8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1. </w:t>
      </w:r>
      <w:r>
        <w:rPr>
          <w:rFonts w:ascii="Verdana" w:hAnsi="Verdana"/>
          <w:sz w:val="20"/>
          <w:szCs w:val="20"/>
        </w:rPr>
        <w:t xml:space="preserve">Оценяването и класирането на офертите на участниците се извършва по критерия </w:t>
      </w:r>
      <w:r>
        <w:rPr>
          <w:rFonts w:ascii="Verdana" w:hAnsi="Verdana"/>
          <w:bCs/>
          <w:sz w:val="20"/>
          <w:szCs w:val="20"/>
        </w:rPr>
        <w:t xml:space="preserve">„ИКОНОМИЧЕСКИ НАЙ-ИЗГОДНАТА ОФЕРТА ” </w:t>
      </w:r>
      <w:r>
        <w:rPr>
          <w:rFonts w:ascii="Verdana" w:hAnsi="Verdana"/>
          <w:sz w:val="20"/>
          <w:szCs w:val="20"/>
        </w:rPr>
        <w:t xml:space="preserve">съгласно чл. 70, ал. 2, т. 3 от ЗОП. Оценяването и класирането на постъпилите оферти ще се извърши в съответствие с изискванията на ЗОП. </w:t>
      </w:r>
    </w:p>
    <w:p w14:paraId="04BAB748" w14:textId="77777777" w:rsidR="009650A8" w:rsidRDefault="009650A8" w:rsidP="009650A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A15FDF5" w14:textId="77777777" w:rsidR="009650A8" w:rsidRDefault="009650A8" w:rsidP="009650A8">
      <w:pPr>
        <w:pStyle w:val="Defaul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2. Настоящата методика за определяне на комплексната оценка на офертите представлява съвкупност от правила, посредством които ще се оцени съответствието между изискванията на възложителя и предоставените оферти, с оглед определяне на предложението, което ще удовлетвори потребностите на възложителя по оптимален, ефективен и ефикасен начин.</w:t>
      </w:r>
    </w:p>
    <w:p w14:paraId="08BC4758" w14:textId="77777777" w:rsidR="009650A8" w:rsidRDefault="009650A8" w:rsidP="009650A8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14:paraId="3A09BC4F" w14:textId="77777777" w:rsidR="009650A8" w:rsidRDefault="009650A8" w:rsidP="009650A8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3. На комплексна оценка за оценяване на икономически най-изгодната оферта съгласно чл. 70, ал. 2, т. 3 от ЗОП подлежат офертите на участници в процедурата, които не са отстранени от участие в процедурата и които отговарят на предварително обявените условия за допустимост.</w:t>
      </w:r>
    </w:p>
    <w:p w14:paraId="2289E52A" w14:textId="77777777" w:rsidR="009650A8" w:rsidRDefault="009650A8" w:rsidP="009650A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F293428" w14:textId="77777777" w:rsidR="009650A8" w:rsidRDefault="009650A8" w:rsidP="009650A8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4. Участниците, чиито технически и ценови предложения не отговарят на изискванията на Възложителя, ще бъдат отстранени от по-нататъшно участие поради несъответствие с условията, поставени от възложителя.</w:t>
      </w:r>
    </w:p>
    <w:p w14:paraId="0AC2A958" w14:textId="77777777" w:rsidR="009650A8" w:rsidRDefault="009650A8" w:rsidP="009650A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8E73B08" w14:textId="77777777" w:rsidR="009650A8" w:rsidRDefault="009650A8" w:rsidP="009650A8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5. Класирането на офертите се извършва по низходящ ред на получената обща оценка, изчислена на база показателите за оценка, като на първо място се класира офертата с най-висока обща оценка. Оценките по отделните показатели се представят в числово изражение с точност до втория знак след десетичната запетая.</w:t>
      </w:r>
    </w:p>
    <w:p w14:paraId="09D0863D" w14:textId="77777777" w:rsidR="009650A8" w:rsidRDefault="009650A8" w:rsidP="009650A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FBA8DF5" w14:textId="77777777" w:rsidR="009650A8" w:rsidRDefault="009650A8" w:rsidP="009650A8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6. Показателите и относителна тежест в комплексната оценка са описани в настоящата документация.</w:t>
      </w:r>
    </w:p>
    <w:p w14:paraId="52E4A188" w14:textId="77777777" w:rsidR="009650A8" w:rsidRDefault="009650A8" w:rsidP="009650A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815BAB8" w14:textId="77777777" w:rsidR="009650A8" w:rsidRDefault="009650A8" w:rsidP="009650A8">
      <w:pPr>
        <w:pStyle w:val="Default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7. Ц</w:t>
      </w:r>
      <w:r>
        <w:rPr>
          <w:rFonts w:ascii="Verdana" w:hAnsi="Verdana"/>
          <w:iCs/>
          <w:sz w:val="20"/>
          <w:szCs w:val="20"/>
        </w:rPr>
        <w:t xml:space="preserve">ените се предлагат в български лева, без включен ДДС, до втория знак след десетичната запетая. </w:t>
      </w:r>
    </w:p>
    <w:p w14:paraId="64A8F64A" w14:textId="77777777" w:rsidR="009650A8" w:rsidRDefault="009650A8" w:rsidP="009650A8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14:paraId="40FD5FBB" w14:textId="77777777" w:rsidR="009650A8" w:rsidRDefault="009650A8" w:rsidP="009650A8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 xml:space="preserve">8. </w:t>
      </w:r>
      <w:r>
        <w:rPr>
          <w:rFonts w:ascii="Verdana" w:hAnsi="Verdana"/>
          <w:sz w:val="20"/>
          <w:szCs w:val="20"/>
        </w:rPr>
        <w:t xml:space="preserve">В случай че комплексните оценки на две или повече оферти са равни се прилагат разпоредбите на чл. 58 от ППЗОП. </w:t>
      </w:r>
    </w:p>
    <w:p w14:paraId="534E6385" w14:textId="77777777" w:rsidR="009650A8" w:rsidRDefault="009650A8" w:rsidP="009650A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14CD650" w14:textId="77777777" w:rsidR="009650A8" w:rsidRDefault="009650A8" w:rsidP="009650A8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Критерият се прилага за оценка на офертите, които отговарят на предварително обявените от възложителя условия. </w:t>
      </w:r>
    </w:p>
    <w:p w14:paraId="7BC66B3D" w14:textId="77777777" w:rsidR="009650A8" w:rsidRDefault="009650A8" w:rsidP="009650A8">
      <w:pPr>
        <w:pStyle w:val="Default"/>
        <w:rPr>
          <w:rFonts w:ascii="Verdana" w:hAnsi="Verdana"/>
          <w:sz w:val="20"/>
          <w:szCs w:val="20"/>
        </w:rPr>
      </w:pPr>
    </w:p>
    <w:p w14:paraId="060CFB80" w14:textId="77777777" w:rsidR="009650A8" w:rsidRDefault="009650A8" w:rsidP="009650A8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Методика за оценка на офертата - оценяването ще се извършва по критерий (К) – икономически най-изгодно предложение при следните показатели за оценка:</w:t>
      </w:r>
    </w:p>
    <w:p w14:paraId="3B191193" w14:textId="77777777" w:rsidR="009650A8" w:rsidRDefault="009650A8" w:rsidP="009650A8">
      <w:pPr>
        <w:pStyle w:val="Default"/>
        <w:rPr>
          <w:rFonts w:ascii="Verdana" w:hAnsi="Verdana"/>
          <w:sz w:val="20"/>
          <w:szCs w:val="20"/>
        </w:rPr>
      </w:pPr>
    </w:p>
    <w:p w14:paraId="4BC41775" w14:textId="77777777" w:rsidR="009650A8" w:rsidRDefault="009650A8" w:rsidP="009650A8">
      <w:pPr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II. Показатели за оценка на офертите и тяхната относителна тежест:</w:t>
      </w:r>
    </w:p>
    <w:p w14:paraId="3CC4C24A" w14:textId="77777777" w:rsidR="009650A8" w:rsidRDefault="009650A8" w:rsidP="009650A8">
      <w:pPr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Показателите за оценка на офертите са:</w:t>
      </w:r>
    </w:p>
    <w:p w14:paraId="635E621A" w14:textId="77777777" w:rsidR="009650A8" w:rsidRDefault="009650A8" w:rsidP="009650A8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uppressAutoHyphens/>
        <w:autoSpaceDE w:val="0"/>
        <w:spacing w:before="120" w:after="120" w:line="280" w:lineRule="exac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Качество</w:t>
      </w:r>
      <w:r>
        <w:rPr>
          <w:rFonts w:ascii="Verdana" w:hAnsi="Verdana"/>
          <w:sz w:val="20"/>
          <w:szCs w:val="20"/>
          <w:lang w:val="bg-BG"/>
        </w:rPr>
        <w:t xml:space="preserve"> с 60% тежест на оценката. </w:t>
      </w:r>
    </w:p>
    <w:p w14:paraId="36E67BC1" w14:textId="77777777" w:rsidR="009650A8" w:rsidRDefault="009650A8" w:rsidP="009650A8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uppressAutoHyphens/>
        <w:autoSpaceDE w:val="0"/>
        <w:spacing w:before="120" w:after="120" w:line="280" w:lineRule="exac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Цена</w:t>
      </w:r>
      <w:r>
        <w:rPr>
          <w:rFonts w:ascii="Verdana" w:hAnsi="Verdana"/>
          <w:sz w:val="20"/>
          <w:szCs w:val="20"/>
          <w:lang w:val="bg-BG"/>
        </w:rPr>
        <w:t xml:space="preserve"> с 40% тежест.</w:t>
      </w:r>
    </w:p>
    <w:p w14:paraId="43265BB4" w14:textId="48E6973C" w:rsidR="009650A8" w:rsidRDefault="009650A8" w:rsidP="00815413">
      <w:pPr>
        <w:shd w:val="clear" w:color="auto" w:fill="FFFFFF"/>
        <w:spacing w:before="120" w:after="120" w:line="280" w:lineRule="exact"/>
        <w:ind w:left="1134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Общата оценка </w:t>
      </w:r>
      <w:r>
        <w:rPr>
          <w:rFonts w:ascii="Verdana" w:hAnsi="Verdana"/>
          <w:bCs/>
          <w:sz w:val="20"/>
          <w:szCs w:val="20"/>
          <w:lang w:val="bg-BG"/>
        </w:rPr>
        <w:t xml:space="preserve">се изчислява по формулата: </w:t>
      </w:r>
      <w:proofErr w:type="spellStart"/>
      <w:r>
        <w:rPr>
          <w:rFonts w:ascii="Verdana" w:hAnsi="Verdana"/>
          <w:b/>
          <w:bCs/>
          <w:sz w:val="20"/>
          <w:szCs w:val="20"/>
          <w:lang w:val="bg-BG"/>
        </w:rPr>
        <w:t>КОn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= </w:t>
      </w:r>
      <w:proofErr w:type="spellStart"/>
      <w:r>
        <w:rPr>
          <w:rFonts w:ascii="Verdana" w:hAnsi="Verdana"/>
          <w:b/>
          <w:bCs/>
          <w:sz w:val="20"/>
          <w:szCs w:val="20"/>
          <w:lang w:val="bg-BG"/>
        </w:rPr>
        <w:t>Кn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x 60% + </w:t>
      </w:r>
      <w:proofErr w:type="spellStart"/>
      <w:r>
        <w:rPr>
          <w:rFonts w:ascii="Verdana" w:hAnsi="Verdana"/>
          <w:b/>
          <w:bCs/>
          <w:sz w:val="20"/>
          <w:szCs w:val="20"/>
          <w:lang w:val="bg-BG"/>
        </w:rPr>
        <w:t>Цn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х 40%</w:t>
      </w:r>
    </w:p>
    <w:p w14:paraId="3198D1E6" w14:textId="77777777" w:rsidR="009650A8" w:rsidRDefault="009650A8" w:rsidP="009650A8">
      <w:pPr>
        <w:shd w:val="clear" w:color="auto" w:fill="FFFFFF"/>
        <w:tabs>
          <w:tab w:val="left" w:pos="709"/>
        </w:tabs>
        <w:spacing w:before="120" w:after="120" w:line="280" w:lineRule="exact"/>
        <w:ind w:left="109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lastRenderedPageBreak/>
        <w:t>където:</w:t>
      </w:r>
    </w:p>
    <w:p w14:paraId="4EB91F4C" w14:textId="77777777" w:rsidR="009650A8" w:rsidRDefault="009650A8" w:rsidP="009650A8">
      <w:pPr>
        <w:widowControl w:val="0"/>
        <w:numPr>
          <w:ilvl w:val="0"/>
          <w:numId w:val="31"/>
        </w:numPr>
        <w:suppressAutoHyphens/>
        <w:autoSpaceDE w:val="0"/>
        <w:spacing w:before="120" w:after="120" w:line="280" w:lineRule="exact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bg-BG"/>
        </w:rPr>
        <w:t>КОn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sz w:val="20"/>
          <w:szCs w:val="20"/>
          <w:lang w:val="bg-BG"/>
        </w:rPr>
        <w:t>- общата оценка на n-тия участник;</w:t>
      </w:r>
    </w:p>
    <w:p w14:paraId="2EF29009" w14:textId="77777777" w:rsidR="009650A8" w:rsidRDefault="009650A8" w:rsidP="009650A8">
      <w:pPr>
        <w:widowControl w:val="0"/>
        <w:numPr>
          <w:ilvl w:val="0"/>
          <w:numId w:val="31"/>
        </w:numPr>
        <w:suppressAutoHyphens/>
        <w:autoSpaceDE w:val="0"/>
        <w:spacing w:before="120" w:after="120" w:line="280" w:lineRule="exact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bg-BG"/>
        </w:rPr>
        <w:t>Кn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sz w:val="20"/>
          <w:szCs w:val="20"/>
          <w:lang w:val="bg-BG"/>
        </w:rPr>
        <w:t>-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sz w:val="20"/>
          <w:szCs w:val="20"/>
          <w:lang w:val="bg-BG"/>
        </w:rPr>
        <w:t xml:space="preserve">оценката на показателя за качество на </w:t>
      </w:r>
      <w:r>
        <w:rPr>
          <w:rFonts w:ascii="Verdana" w:hAnsi="Verdana"/>
          <w:b/>
          <w:bCs/>
          <w:sz w:val="20"/>
          <w:szCs w:val="20"/>
          <w:lang w:val="bg-BG"/>
        </w:rPr>
        <w:t>n</w:t>
      </w:r>
      <w:r>
        <w:rPr>
          <w:rFonts w:ascii="Verdana" w:hAnsi="Verdana"/>
          <w:bCs/>
          <w:sz w:val="20"/>
          <w:szCs w:val="20"/>
          <w:lang w:val="bg-BG"/>
        </w:rPr>
        <w:t>-тия участник;</w:t>
      </w:r>
    </w:p>
    <w:p w14:paraId="2A8C728D" w14:textId="77777777" w:rsidR="009650A8" w:rsidRDefault="009650A8" w:rsidP="009650A8">
      <w:pPr>
        <w:pStyle w:val="af6"/>
        <w:numPr>
          <w:ilvl w:val="0"/>
          <w:numId w:val="31"/>
        </w:numPr>
        <w:tabs>
          <w:tab w:val="left" w:pos="1260"/>
        </w:tabs>
        <w:spacing w:before="120" w:line="280" w:lineRule="exact"/>
        <w:rPr>
          <w:rFonts w:ascii="Verdana" w:hAnsi="Verdana"/>
          <w:lang w:val="bg-BG"/>
        </w:rPr>
      </w:pPr>
      <w:r>
        <w:rPr>
          <w:rFonts w:ascii="Verdana" w:hAnsi="Verdana" w:cs="Times New Roman"/>
          <w:b/>
          <w:bCs/>
          <w:lang w:val="bg-BG"/>
        </w:rPr>
        <w:t xml:space="preserve">  </w:t>
      </w:r>
      <w:proofErr w:type="spellStart"/>
      <w:r>
        <w:rPr>
          <w:rFonts w:ascii="Verdana" w:hAnsi="Verdana" w:cs="Times New Roman"/>
          <w:b/>
          <w:bCs/>
          <w:lang w:val="bg-BG"/>
        </w:rPr>
        <w:t>Цn</w:t>
      </w:r>
      <w:proofErr w:type="spellEnd"/>
      <w:r>
        <w:rPr>
          <w:rFonts w:ascii="Verdana" w:hAnsi="Verdana" w:cs="Times New Roman"/>
          <w:b/>
          <w:lang w:val="bg-BG"/>
        </w:rPr>
        <w:t xml:space="preserve"> </w:t>
      </w:r>
      <w:r>
        <w:rPr>
          <w:rFonts w:ascii="Verdana" w:hAnsi="Verdana" w:cs="Times New Roman"/>
          <w:lang w:val="bg-BG"/>
        </w:rPr>
        <w:t>– показател за ц</w:t>
      </w:r>
      <w:r>
        <w:rPr>
          <w:rFonts w:ascii="Verdana" w:hAnsi="Verdana" w:cs="Times New Roman"/>
          <w:bCs/>
          <w:lang w:val="bg-BG"/>
        </w:rPr>
        <w:t xml:space="preserve">ена, предложена от </w:t>
      </w:r>
      <w:r>
        <w:rPr>
          <w:rFonts w:ascii="Verdana" w:hAnsi="Verdana" w:cs="Times New Roman"/>
          <w:b/>
          <w:bCs/>
          <w:lang w:val="bg-BG"/>
        </w:rPr>
        <w:t>n</w:t>
      </w:r>
      <w:r>
        <w:rPr>
          <w:rFonts w:ascii="Verdana" w:hAnsi="Verdana" w:cs="Times New Roman"/>
          <w:bCs/>
          <w:lang w:val="bg-BG"/>
        </w:rPr>
        <w:t>-тия участник.</w:t>
      </w:r>
    </w:p>
    <w:p w14:paraId="260DC006" w14:textId="77777777" w:rsidR="009650A8" w:rsidRDefault="009650A8" w:rsidP="009650A8">
      <w:pPr>
        <w:pStyle w:val="af8"/>
        <w:spacing w:before="120" w:line="280" w:lineRule="exact"/>
        <w:ind w:left="0"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bCs/>
          <w:lang w:val="bg-BG"/>
        </w:rPr>
        <w:t>III. Оценка на показателя за качество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– </w:t>
      </w:r>
      <w:r>
        <w:rPr>
          <w:rFonts w:ascii="Verdana" w:hAnsi="Verdana"/>
          <w:b/>
          <w:bCs/>
          <w:lang w:val="bg-BG"/>
        </w:rPr>
        <w:t xml:space="preserve">К. </w:t>
      </w:r>
      <w:r>
        <w:rPr>
          <w:rFonts w:ascii="Verdana" w:hAnsi="Verdana"/>
          <w:bCs/>
          <w:lang w:val="bg-BG"/>
        </w:rPr>
        <w:t xml:space="preserve">Оценява се </w:t>
      </w:r>
      <w:r>
        <w:rPr>
          <w:rFonts w:ascii="Verdana" w:hAnsi="Verdana"/>
          <w:lang w:val="bg-BG"/>
        </w:rPr>
        <w:t xml:space="preserve">качеството на представената концепция за изпълнение на поръчката на участника в техническото му предложение. </w:t>
      </w:r>
      <w:r>
        <w:rPr>
          <w:rFonts w:ascii="Verdana" w:hAnsi="Verdana"/>
          <w:b/>
          <w:lang w:val="bg-BG"/>
        </w:rPr>
        <w:t xml:space="preserve">(К). </w:t>
      </w:r>
      <w:r>
        <w:rPr>
          <w:rFonts w:ascii="Verdana" w:hAnsi="Verdana"/>
          <w:lang w:val="bg-BG"/>
        </w:rPr>
        <w:t xml:space="preserve">За този показател </w:t>
      </w:r>
      <w:r>
        <w:rPr>
          <w:rFonts w:ascii="Verdana" w:hAnsi="Verdana"/>
          <w:b/>
          <w:lang w:val="bg-BG"/>
        </w:rPr>
        <w:t>(К)</w:t>
      </w:r>
      <w:r>
        <w:rPr>
          <w:rFonts w:ascii="Verdana" w:hAnsi="Verdana"/>
          <w:lang w:val="bg-BG"/>
        </w:rPr>
        <w:t xml:space="preserve"> се присъждат максимум </w:t>
      </w:r>
      <w:r>
        <w:rPr>
          <w:rFonts w:ascii="Verdana" w:hAnsi="Verdana"/>
          <w:b/>
          <w:lang w:val="bg-BG"/>
        </w:rPr>
        <w:t xml:space="preserve">100 </w:t>
      </w:r>
      <w:r>
        <w:rPr>
          <w:rFonts w:ascii="Verdana" w:hAnsi="Verdana"/>
          <w:lang w:val="bg-BG"/>
        </w:rPr>
        <w:t>точки. Показателят се определя по формулата:</w:t>
      </w:r>
    </w:p>
    <w:p w14:paraId="788C6E55" w14:textId="77777777" w:rsidR="009650A8" w:rsidRDefault="009650A8" w:rsidP="009650A8">
      <w:pPr>
        <w:spacing w:before="120" w:after="120" w:line="280" w:lineRule="exact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К = К1 + К2 + К3, </w:t>
      </w:r>
      <w:r>
        <w:rPr>
          <w:rFonts w:ascii="Verdana" w:hAnsi="Verdana"/>
          <w:bCs/>
          <w:sz w:val="20"/>
          <w:szCs w:val="20"/>
          <w:lang w:val="bg-BG"/>
        </w:rPr>
        <w:t>където:</w:t>
      </w:r>
    </w:p>
    <w:p w14:paraId="3E71B002" w14:textId="77777777" w:rsidR="009650A8" w:rsidRDefault="009650A8" w:rsidP="009650A8">
      <w:pPr>
        <w:widowControl w:val="0"/>
        <w:numPr>
          <w:ilvl w:val="0"/>
          <w:numId w:val="32"/>
        </w:numPr>
        <w:tabs>
          <w:tab w:val="left" w:pos="1416"/>
        </w:tabs>
        <w:suppressAutoHyphens/>
        <w:autoSpaceDE w:val="0"/>
        <w:spacing w:before="120" w:after="120" w:line="280" w:lineRule="exac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К1 – Показател, отнасящ се до </w:t>
      </w:r>
      <w:r>
        <w:rPr>
          <w:rFonts w:ascii="Verdana" w:hAnsi="Verdana"/>
          <w:b/>
          <w:bCs/>
          <w:sz w:val="20"/>
          <w:szCs w:val="20"/>
          <w:lang w:val="bg-BG"/>
        </w:rPr>
        <w:t>Разбиране на техническите изисквания</w:t>
      </w:r>
      <w:r>
        <w:rPr>
          <w:rFonts w:ascii="Verdana" w:hAnsi="Verdana"/>
          <w:b/>
          <w:sz w:val="20"/>
          <w:szCs w:val="20"/>
          <w:lang w:val="bg-BG"/>
        </w:rPr>
        <w:t xml:space="preserve"> - максимум 60 точки;</w:t>
      </w:r>
    </w:p>
    <w:p w14:paraId="2A7A23C1" w14:textId="77777777" w:rsidR="009650A8" w:rsidRDefault="009650A8" w:rsidP="009650A8">
      <w:pPr>
        <w:widowControl w:val="0"/>
        <w:numPr>
          <w:ilvl w:val="0"/>
          <w:numId w:val="32"/>
        </w:numPr>
        <w:tabs>
          <w:tab w:val="left" w:pos="1416"/>
        </w:tabs>
        <w:suppressAutoHyphens/>
        <w:autoSpaceDE w:val="0"/>
        <w:spacing w:before="120" w:after="120" w:line="280" w:lineRule="exac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К2 - Показател, отнасящ се до П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лан за действие (времеви график) и организация за изпълнение на поръчката </w:t>
      </w:r>
      <w:r>
        <w:rPr>
          <w:rFonts w:ascii="Verdana" w:hAnsi="Verdana"/>
          <w:b/>
          <w:sz w:val="20"/>
          <w:szCs w:val="20"/>
          <w:lang w:val="bg-BG"/>
        </w:rPr>
        <w:t>– максимум 24 точки;</w:t>
      </w:r>
    </w:p>
    <w:p w14:paraId="2ABA7397" w14:textId="77777777" w:rsidR="009650A8" w:rsidRDefault="009650A8" w:rsidP="009650A8">
      <w:pPr>
        <w:widowControl w:val="0"/>
        <w:numPr>
          <w:ilvl w:val="0"/>
          <w:numId w:val="32"/>
        </w:numPr>
        <w:tabs>
          <w:tab w:val="left" w:pos="1416"/>
        </w:tabs>
        <w:suppressAutoHyphens/>
        <w:autoSpaceDE w:val="0"/>
        <w:spacing w:before="120" w:after="120" w:line="280" w:lineRule="exac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К3 - Показател, отнасящ се до </w:t>
      </w:r>
      <w:r>
        <w:rPr>
          <w:rFonts w:ascii="Verdana" w:hAnsi="Verdana"/>
          <w:b/>
          <w:bCs/>
          <w:sz w:val="20"/>
          <w:szCs w:val="20"/>
          <w:lang w:val="bg-BG"/>
        </w:rPr>
        <w:t>Ключови моменти и рискове за добро изпълнение на поръчката</w:t>
      </w:r>
      <w:r>
        <w:rPr>
          <w:rFonts w:ascii="Verdana" w:hAnsi="Verdana"/>
          <w:b/>
          <w:sz w:val="20"/>
          <w:szCs w:val="20"/>
          <w:lang w:val="bg-BG"/>
        </w:rPr>
        <w:t xml:space="preserve"> - максимум 16 точки.</w:t>
      </w:r>
    </w:p>
    <w:p w14:paraId="4DF11E7A" w14:textId="77777777" w:rsidR="009650A8" w:rsidRDefault="009650A8" w:rsidP="009650A8">
      <w:pPr>
        <w:tabs>
          <w:tab w:val="left" w:pos="1416"/>
        </w:tabs>
        <w:spacing w:before="120" w:after="120" w:line="280" w:lineRule="exact"/>
        <w:ind w:left="720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2E492305" w14:textId="3925FDAC" w:rsidR="009650A8" w:rsidRDefault="009650A8" w:rsidP="009650A8">
      <w:pPr>
        <w:spacing w:before="120" w:after="120" w:line="280" w:lineRule="exact"/>
        <w:ind w:left="1416" w:hanging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Cs/>
          <w:iCs/>
          <w:sz w:val="20"/>
          <w:szCs w:val="20"/>
          <w:lang w:val="bg-BG"/>
        </w:rPr>
        <w:t>От своя страна, К1, К2, К3  се формират както следва:</w:t>
      </w:r>
    </w:p>
    <w:p w14:paraId="46D154C7" w14:textId="77777777" w:rsidR="009650A8" w:rsidRDefault="009650A8" w:rsidP="009650A8">
      <w:pPr>
        <w:rPr>
          <w:rFonts w:ascii="Verdana" w:hAnsi="Verdana"/>
          <w:bCs/>
          <w:iCs/>
          <w:sz w:val="20"/>
          <w:szCs w:val="20"/>
          <w:lang w:val="bg-BG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5"/>
        <w:gridCol w:w="905"/>
        <w:gridCol w:w="1034"/>
        <w:gridCol w:w="766"/>
        <w:gridCol w:w="1082"/>
      </w:tblGrid>
      <w:tr w:rsidR="009650A8" w14:paraId="2817AC15" w14:textId="77777777" w:rsidTr="009650A8">
        <w:trPr>
          <w:trHeight w:val="124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E2797" w14:textId="77777777" w:rsidR="009650A8" w:rsidRDefault="009650A8">
            <w:pPr>
              <w:snapToGrid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14:paraId="1F31A8C5" w14:textId="77777777" w:rsidR="009650A8" w:rsidRDefault="009650A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bg-BG"/>
              </w:rPr>
              <w:t>Раздели, формиращи показателя за качество</w:t>
            </w:r>
          </w:p>
          <w:p w14:paraId="4F244A08" w14:textId="77777777" w:rsidR="009650A8" w:rsidRDefault="009650A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bg-BG"/>
              </w:rPr>
              <w:t>(К1 – К3)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90526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Скала на оценката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76064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 Оценка </w:t>
            </w:r>
          </w:p>
          <w:p w14:paraId="6089B125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на участника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DC9F6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bg-BG"/>
              </w:rPr>
              <w:t>Коефи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-</w:t>
            </w:r>
          </w:p>
          <w:p w14:paraId="32199CF6" w14:textId="77777777" w:rsidR="009650A8" w:rsidRDefault="009650A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bg-BG"/>
              </w:rPr>
              <w:t>циент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764DB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Точки </w:t>
            </w:r>
          </w:p>
          <w:p w14:paraId="7FD4F714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на участника</w:t>
            </w:r>
          </w:p>
        </w:tc>
      </w:tr>
      <w:tr w:rsidR="009650A8" w14:paraId="56D3E337" w14:textId="77777777" w:rsidTr="009650A8">
        <w:trPr>
          <w:trHeight w:val="89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1782C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К1 – Раздел „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Разбиране на техническите изисквания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”. Максимален брой точки 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C01F5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1 - 4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3E2E7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49C06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5F6E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650A8" w14:paraId="196F19BD" w14:textId="77777777" w:rsidTr="009650A8">
        <w:trPr>
          <w:trHeight w:val="1179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0902C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Участникът много добре познава особеностите в дейността на ИА ГИТ като цяло и в контекста на задачата. Участникът много добре разбира предизвикателствата пред инспекциите по труда, които изискват тяхното прецизиране. Участникът много добре е аргументирал подходът за изследване на определените от възложителя целеви групи, като е посочил специфични особености на всяка от тях, и е съобразил методологията с тези особеностите, и е доразвил изискванията на Възложителя.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79DA3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72BCA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7B95B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8ACA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60</w:t>
            </w:r>
          </w:p>
        </w:tc>
      </w:tr>
      <w:tr w:rsidR="009650A8" w14:paraId="7B942569" w14:textId="77777777" w:rsidTr="009650A8">
        <w:trPr>
          <w:trHeight w:val="89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B1D88" w14:textId="77777777" w:rsidR="009650A8" w:rsidRDefault="009650A8" w:rsidP="00815413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Участникът добре познава особеностите в дейността на ИА ГИТ като цяло и в контекста на задачата. Участникът добре разбира предизвикателствата пред инспекциите по труда, които изискват тяхното прецизиране. Участникът  добре е аргументирал подходът за изследване на определените от възложителя целеви групи, като е посочил специфични особености на всяка от тях, и е съобразил методологията с тези особеностите, но не е доразвил изискванията на Възложителя.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8DB40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FEEDB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B21C6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7714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45</w:t>
            </w:r>
          </w:p>
        </w:tc>
      </w:tr>
      <w:tr w:rsidR="009650A8" w14:paraId="1D4C7A23" w14:textId="77777777" w:rsidTr="009650A8">
        <w:trPr>
          <w:trHeight w:val="1943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239A" w14:textId="77777777" w:rsidR="009650A8" w:rsidRDefault="009650A8" w:rsidP="00815413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Участникът добре познава особеностите в дейността на ИА ГИТ като цяло и в контекста на задачата. Участникът добре разбира предизвикателствата пред инспекциите по труда, които изискват тяхното прецизиране, но не е аргументирал ясно и недвусмислено подходът за изследване на определените от възложителя целеви групи, независимо, че е посочил специфични особености на всяка от тях, и е съобразил методологията с тези особеностите.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ED1E4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6F6EA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B35BE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7F7B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30</w:t>
            </w:r>
          </w:p>
        </w:tc>
      </w:tr>
      <w:tr w:rsidR="009650A8" w14:paraId="0512C674" w14:textId="77777777" w:rsidTr="009650A8">
        <w:trPr>
          <w:trHeight w:val="1797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64C23" w14:textId="77777777" w:rsidR="009650A8" w:rsidRDefault="009650A8" w:rsidP="00815413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Участникът познава основни моменти от дейността на ИА ГИТ като цяло, но без да показва задълбоченост. Участникът не разбира добре предизвикателствата пред инспекциите по труда, които изискват тяхното прецизиране. Добре е аргументирал подходът за изследване на определените от възложителя целеви групи, като е посочил специфични особености на всяка от тях, но без да доразвива изискванията на Възложителя.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38FC4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F1CC3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F0E0E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ADED0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15</w:t>
            </w:r>
          </w:p>
        </w:tc>
      </w:tr>
    </w:tbl>
    <w:p w14:paraId="3C541167" w14:textId="77777777" w:rsidR="009650A8" w:rsidRDefault="009650A8" w:rsidP="009650A8">
      <w:pPr>
        <w:rPr>
          <w:rFonts w:ascii="Verdana" w:hAnsi="Verdana"/>
          <w:sz w:val="20"/>
          <w:szCs w:val="20"/>
          <w:lang w:val="bg-BG"/>
        </w:rPr>
      </w:pPr>
    </w:p>
    <w:p w14:paraId="002C7E47" w14:textId="77777777" w:rsidR="009650A8" w:rsidRDefault="009650A8" w:rsidP="009650A8">
      <w:pPr>
        <w:rPr>
          <w:rFonts w:ascii="Verdana" w:hAnsi="Verdana"/>
          <w:sz w:val="20"/>
          <w:szCs w:val="20"/>
          <w:lang w:val="bg-BG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900"/>
        <w:gridCol w:w="1080"/>
        <w:gridCol w:w="720"/>
        <w:gridCol w:w="1082"/>
      </w:tblGrid>
      <w:tr w:rsidR="009650A8" w14:paraId="21430C71" w14:textId="77777777" w:rsidTr="009650A8">
        <w:trPr>
          <w:trHeight w:val="89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525CF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К2. Раздел „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План за действие (времеви график) и организация за изпълнение на поръчката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”.</w:t>
            </w:r>
          </w:p>
          <w:p w14:paraId="68B862FF" w14:textId="77777777" w:rsidR="009650A8" w:rsidRDefault="009650A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Максимален брой точки - 24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AAEFA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1 - 4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7543C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74A1A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AC26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650A8" w14:paraId="6B314CE7" w14:textId="77777777" w:rsidTr="009650A8">
        <w:trPr>
          <w:trHeight w:val="345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10E57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Описаните етапи в плана /времеви график/ са структурирани в ясна логическа и функционална връзка.</w:t>
            </w:r>
          </w:p>
          <w:p w14:paraId="6ECFD76D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Има пълно съответствие между тях и изискванията на Възложителя.</w:t>
            </w:r>
          </w:p>
          <w:p w14:paraId="368856CD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Отразени са периодите за проучване, комуникация и набавяне и обработка на информация. </w:t>
            </w:r>
          </w:p>
          <w:p w14:paraId="2776C706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Разпределението на етапите във времето е балансирано и няма голямо струпване на тях в отделните периоди от плана / времеви график /.</w:t>
            </w:r>
          </w:p>
          <w:p w14:paraId="12BDEEC6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Планираните срокове са аргументирани много прецизно, като това е обвързано с ресурса на изпълнителя (времеви и експертен). Посочени са междинни резултати и контроли, там където според изпълнителя това е необходимо. Необходимостта от такива междинни етапи и контроли е добре аргументирана.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DE13F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6F405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C3E42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D26AA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24</w:t>
            </w:r>
          </w:p>
        </w:tc>
      </w:tr>
      <w:tr w:rsidR="009650A8" w14:paraId="06ADF56B" w14:textId="77777777" w:rsidTr="009650A8">
        <w:trPr>
          <w:trHeight w:val="89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03194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Описаните етапи в плана /времеви график/ са структурирани в ясна логическа и функционална връзка.</w:t>
            </w:r>
          </w:p>
          <w:p w14:paraId="4E5AD7C0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Има пълно съответствие между тях и изискванията на Възложителя.</w:t>
            </w:r>
          </w:p>
          <w:p w14:paraId="0E13CA8D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Отразени са периодите за проучване, комуникация и набавяне и обработка на информация. </w:t>
            </w:r>
          </w:p>
          <w:p w14:paraId="284E48FC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Разпределението на етапите във времето е балансирано и няма голямо струпване на тях в отделните периоди от плана / времеви график /.</w:t>
            </w:r>
          </w:p>
          <w:p w14:paraId="5E52A324" w14:textId="77777777" w:rsidR="009650A8" w:rsidRDefault="009650A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Планираните срокове са аргументирани много прецизно, като това е обвързано с ресурса на изпълнителя (времеви и експертен). Посочени са междинни резултати и контроли, но необходимостта от тях не е аргументирана, или аргументирана неубедително и неясно.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993BE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9692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E41DF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1D1E4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18</w:t>
            </w:r>
          </w:p>
        </w:tc>
      </w:tr>
      <w:tr w:rsidR="009650A8" w14:paraId="1C629594" w14:textId="77777777" w:rsidTr="009650A8">
        <w:trPr>
          <w:trHeight w:val="258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CB853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Описаните етапи в плана /времеви график/ са структурирани в ясна логическа и функционална връзка.</w:t>
            </w:r>
          </w:p>
          <w:p w14:paraId="2F2839AC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Има пълно съответствие между тях и изискванията на Възложителя.</w:t>
            </w:r>
          </w:p>
          <w:p w14:paraId="35393614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Отразени са периодите за проучване, комуникация и набавяне и обработка на информация. </w:t>
            </w:r>
          </w:p>
          <w:p w14:paraId="6EDC78C0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Разпределението на етапите във времето не е  балансирано крие риск от неизпълнение на поръчката в срок.</w:t>
            </w:r>
          </w:p>
          <w:p w14:paraId="1B1155A3" w14:textId="77777777" w:rsidR="009650A8" w:rsidRDefault="009650A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Планираните срокове са аргументирани много прецизно, като това е обвързано с ресурса на изпълнителя (времеви и експертен). Посочени са междинни резултати и контроли, там където според изпълнителя това е необходимо. Необходимостта от такива междинни етапи и контроли е добре аргументирана.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F19AC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88B96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FEADC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E3F1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</w:tr>
      <w:tr w:rsidR="009650A8" w14:paraId="431056E8" w14:textId="77777777" w:rsidTr="009650A8">
        <w:trPr>
          <w:trHeight w:val="70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12084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Описаните етапи в плана /времеви график/ са структурирани в ясна логическа и функционална връзка.</w:t>
            </w:r>
          </w:p>
          <w:p w14:paraId="651921F2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Има пълно съответствие между тях и изискванията на Възложителя.</w:t>
            </w:r>
          </w:p>
          <w:p w14:paraId="10383162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Отразени са периодите за проучване, комуникация и набавяне и обработка на информация. </w:t>
            </w:r>
          </w:p>
          <w:p w14:paraId="56CB48BA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Разпределението на етапите във времето не е  балансирано, като не е изяснено как с наличния ресурс ще изпълни поръчката в посочените от Възложителя срокове.</w:t>
            </w:r>
          </w:p>
          <w:p w14:paraId="4FB1F663" w14:textId="77777777" w:rsidR="009650A8" w:rsidRDefault="009650A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Посочени са междинни резултати и контроли, но необходимостта от тях не е аргументирана, или аргументирана неубедително и неясно.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6269A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3DEB4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36380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039C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</w:tr>
    </w:tbl>
    <w:p w14:paraId="64E2D6F3" w14:textId="77777777" w:rsidR="009650A8" w:rsidRDefault="009650A8" w:rsidP="009650A8">
      <w:pPr>
        <w:rPr>
          <w:rFonts w:ascii="Verdana" w:hAnsi="Verdana"/>
          <w:sz w:val="20"/>
          <w:szCs w:val="20"/>
          <w:lang w:val="bg-BG"/>
        </w:rPr>
      </w:pPr>
    </w:p>
    <w:p w14:paraId="6D5D0BDB" w14:textId="77777777" w:rsidR="009650A8" w:rsidRDefault="009650A8" w:rsidP="009650A8">
      <w:pPr>
        <w:rPr>
          <w:rFonts w:ascii="Verdana" w:hAnsi="Verdana"/>
          <w:sz w:val="20"/>
          <w:szCs w:val="20"/>
          <w:lang w:val="bg-BG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900"/>
        <w:gridCol w:w="1080"/>
        <w:gridCol w:w="720"/>
        <w:gridCol w:w="1082"/>
      </w:tblGrid>
      <w:tr w:rsidR="009650A8" w14:paraId="6DC3111F" w14:textId="77777777" w:rsidTr="009650A8">
        <w:trPr>
          <w:trHeight w:val="89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CB9C3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К3.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Раздел “Ключови моменти и рискове за добро изпълнение на поръчката”. Максимален брой точки - 16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F2238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1 - 4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0708B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A7929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ECB1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650A8" w14:paraId="6AF8B85A" w14:textId="77777777" w:rsidTr="009650A8">
        <w:trPr>
          <w:trHeight w:val="258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4D5C2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Участникът е посочил ключовите моменти за изпълнение на отделните етапи и тяхното влияние върху цялостното изпълнение на поръчката, като се е аргументирал защо смята тези елементи за ключови.</w:t>
            </w:r>
          </w:p>
          <w:p w14:paraId="70396B49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Участникът е предвидил достатъчно и реално изпълними мерки за премахване/минимизиране на всеки един от посочените от възложителя рискове.</w:t>
            </w:r>
          </w:p>
          <w:p w14:paraId="65D5BA71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Предвидени са мерки и срещу други, възможни според изпълнителя рискове.</w:t>
            </w:r>
          </w:p>
          <w:p w14:paraId="535E62AE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CA10C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B4286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3B725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BD38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16</w:t>
            </w:r>
          </w:p>
        </w:tc>
      </w:tr>
      <w:tr w:rsidR="009650A8" w14:paraId="3F16EE96" w14:textId="77777777" w:rsidTr="009650A8">
        <w:trPr>
          <w:trHeight w:val="163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53893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Участникът е посочил ключовите моменти за изпълнение на отделните етапи и тяхното влияние върху цялостното изпълнение на поръчката, като се е аргументирал защо смята тези елементи за ключови.</w:t>
            </w:r>
          </w:p>
          <w:p w14:paraId="43183E30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Участникът е предвидил достатъчно и реално изпълними мерки за премахване/минимизиране на всеки един от посочените от възложителя рискове.</w:t>
            </w:r>
          </w:p>
          <w:p w14:paraId="141688AA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са предвидени мерки срещу други, възможни според изпълнителя рискове.</w:t>
            </w:r>
          </w:p>
          <w:p w14:paraId="3F859156" w14:textId="77777777" w:rsidR="009650A8" w:rsidRDefault="009650A8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257733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A82AA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3BB3C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A092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</w:tr>
      <w:tr w:rsidR="009650A8" w14:paraId="42C158C2" w14:textId="77777777" w:rsidTr="009650A8">
        <w:trPr>
          <w:trHeight w:val="160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BB965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Участникът е посочил ключовите моменти за изпълнение на всеки един от отделните етапи от поръчката, но не е аргументирал защо ги приема като такива. </w:t>
            </w:r>
          </w:p>
          <w:p w14:paraId="3B944DC7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Участникът е предвидил достатъчно и реално изпълними мерки за премахване/минимизиране на всеки един от посочените от възложителя рискове.</w:t>
            </w:r>
          </w:p>
          <w:p w14:paraId="4378AF53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Предвидени са мерки и срещу други, възможни според изпълнителя рискове.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AC970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E8FB3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BA0D7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637A4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</w:tr>
      <w:tr w:rsidR="009650A8" w14:paraId="6988680A" w14:textId="77777777" w:rsidTr="009650A8">
        <w:trPr>
          <w:trHeight w:val="179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6DD93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Участникът не е посочил ключовите моменти за изпълнение на всеки от отделните етапи, или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bg-BG"/>
              </w:rPr>
              <w:t>гие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посочил без да ги аргументира. </w:t>
            </w:r>
          </w:p>
          <w:p w14:paraId="011F14BE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Участникът не е предвидил достатъчно и реално изпълними мерки за премахване/минимизиране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на всеки един от посочените от възложителя рискове.</w:t>
            </w:r>
          </w:p>
          <w:p w14:paraId="206B6350" w14:textId="77777777" w:rsidR="009650A8" w:rsidRDefault="009650A8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са предвидени мерки срещу други, възможни според изпълнителя рискове.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DC6EF" w14:textId="77777777" w:rsidR="009650A8" w:rsidRDefault="009650A8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5A01F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C8699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48468" w14:textId="77777777" w:rsidR="009650A8" w:rsidRDefault="009650A8">
            <w:pPr>
              <w:snapToGrid w:val="0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</w:tr>
    </w:tbl>
    <w:p w14:paraId="310C34CE" w14:textId="77777777" w:rsidR="009650A8" w:rsidRDefault="009650A8" w:rsidP="009650A8">
      <w:pPr>
        <w:rPr>
          <w:rFonts w:ascii="Verdana" w:hAnsi="Verdana"/>
          <w:sz w:val="20"/>
          <w:szCs w:val="20"/>
          <w:lang w:val="bg-BG"/>
        </w:rPr>
      </w:pPr>
    </w:p>
    <w:p w14:paraId="3C528F43" w14:textId="77777777" w:rsidR="009650A8" w:rsidRDefault="009650A8" w:rsidP="009650A8">
      <w:pPr>
        <w:spacing w:before="120" w:after="120" w:line="280" w:lineRule="exact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IV. Показателят за цена (Ц)</w:t>
      </w:r>
      <w:r>
        <w:rPr>
          <w:rFonts w:ascii="Verdana" w:hAnsi="Verdana"/>
          <w:sz w:val="20"/>
          <w:szCs w:val="20"/>
          <w:lang w:val="bg-BG"/>
        </w:rPr>
        <w:t xml:space="preserve"> с тежест 40% е формиран така, че най-ниската цена получава 100 точки, а останалите се изчисляват по формулата: </w:t>
      </w:r>
    </w:p>
    <w:p w14:paraId="464EE1AB" w14:textId="77777777" w:rsidR="009650A8" w:rsidRDefault="009650A8" w:rsidP="009650A8">
      <w:pPr>
        <w:spacing w:before="120" w:after="120" w:line="280" w:lineRule="exact"/>
        <w:ind w:right="-421" w:firstLine="708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>
        <w:rPr>
          <w:rFonts w:ascii="Verdana" w:hAnsi="Verdana"/>
          <w:b/>
          <w:sz w:val="20"/>
          <w:szCs w:val="20"/>
          <w:lang w:val="bg-BG"/>
        </w:rPr>
        <w:t>Ц</w:t>
      </w:r>
      <w:r>
        <w:rPr>
          <w:rFonts w:ascii="Verdana" w:hAnsi="Verdana"/>
          <w:b/>
          <w:bCs/>
          <w:sz w:val="20"/>
          <w:szCs w:val="20"/>
          <w:lang w:val="bg-BG"/>
        </w:rPr>
        <w:t>n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 = 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u w:val="single"/>
          <w:lang w:val="bg-BG"/>
        </w:rPr>
        <w:t xml:space="preserve">    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  <w:lang w:val="bg-BG"/>
        </w:rPr>
        <w:t>Цmin</w:t>
      </w:r>
      <w:proofErr w:type="spellEnd"/>
      <w:r>
        <w:rPr>
          <w:rFonts w:ascii="Verdana" w:hAnsi="Verdana"/>
          <w:sz w:val="20"/>
          <w:szCs w:val="20"/>
          <w:u w:val="single"/>
          <w:lang w:val="bg-BG"/>
        </w:rPr>
        <w:t xml:space="preserve">  </w:t>
      </w:r>
      <w:r>
        <w:rPr>
          <w:rFonts w:ascii="Verdana" w:hAnsi="Verdana"/>
          <w:sz w:val="20"/>
          <w:szCs w:val="20"/>
          <w:lang w:val="bg-BG"/>
        </w:rPr>
        <w:t xml:space="preserve">  х 100,  където: </w:t>
      </w:r>
    </w:p>
    <w:p w14:paraId="5B343F47" w14:textId="77777777" w:rsidR="009650A8" w:rsidRDefault="009650A8" w:rsidP="009650A8">
      <w:pPr>
        <w:spacing w:after="119" w:line="280" w:lineRule="exact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                 </w:t>
      </w:r>
      <w:proofErr w:type="spellStart"/>
      <w:r>
        <w:rPr>
          <w:rFonts w:ascii="Verdana" w:hAnsi="Verdana"/>
          <w:b/>
          <w:bCs/>
          <w:sz w:val="20"/>
          <w:szCs w:val="20"/>
          <w:lang w:val="bg-BG"/>
        </w:rPr>
        <w:t>Цn</w:t>
      </w:r>
      <w:proofErr w:type="spellEnd"/>
    </w:p>
    <w:p w14:paraId="7E6C5EAE" w14:textId="77777777" w:rsidR="009650A8" w:rsidRDefault="009650A8" w:rsidP="009650A8">
      <w:pPr>
        <w:spacing w:before="120" w:after="120" w:line="280" w:lineRule="exact"/>
        <w:ind w:right="-421" w:firstLine="708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bg-BG"/>
        </w:rPr>
        <w:t>Цn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е показателят за цена на n-тия участник;</w:t>
      </w:r>
    </w:p>
    <w:p w14:paraId="1E793BE3" w14:textId="77777777" w:rsidR="009650A8" w:rsidRDefault="009650A8" w:rsidP="009650A8">
      <w:pPr>
        <w:spacing w:before="120" w:after="120" w:line="280" w:lineRule="exact"/>
        <w:ind w:right="-421" w:firstLine="708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bg-BG"/>
        </w:rPr>
        <w:t>Цmin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е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най-ниската предложена цена от участник в тръжната процедура, без начислено ДДС;</w:t>
      </w:r>
    </w:p>
    <w:p w14:paraId="2BFB44EA" w14:textId="77777777" w:rsidR="009650A8" w:rsidRDefault="009650A8" w:rsidP="009650A8">
      <w:pPr>
        <w:spacing w:after="119" w:line="280" w:lineRule="exact"/>
        <w:ind w:firstLine="708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bg-BG"/>
        </w:rPr>
        <w:t>Цn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е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предложената цена от n-тия участник в тръжната процедура, без начислено ДДС;</w:t>
      </w:r>
    </w:p>
    <w:p w14:paraId="618F897E" w14:textId="77777777" w:rsidR="009650A8" w:rsidRDefault="009650A8" w:rsidP="009650A8">
      <w:pPr>
        <w:rPr>
          <w:rFonts w:ascii="Verdana" w:hAnsi="Verdana" w:cs="Verdana"/>
          <w:sz w:val="20"/>
          <w:szCs w:val="20"/>
          <w:lang w:val="bg-BG"/>
        </w:rPr>
      </w:pPr>
    </w:p>
    <w:p w14:paraId="5A9A815C" w14:textId="77777777" w:rsidR="009650A8" w:rsidRDefault="009650A8" w:rsidP="009650A8">
      <w:pPr>
        <w:shd w:val="clear" w:color="auto" w:fill="FFFFFF"/>
        <w:spacing w:before="120" w:after="120" w:line="280" w:lineRule="exact"/>
        <w:rPr>
          <w:rFonts w:ascii="Verdana" w:hAnsi="Verdana"/>
          <w:b/>
          <w:bCs/>
          <w:sz w:val="20"/>
          <w:szCs w:val="20"/>
          <w:lang w:val="bg-BG"/>
        </w:rPr>
      </w:pPr>
    </w:p>
    <w:p w14:paraId="74619769" w14:textId="77777777" w:rsidR="009650A8" w:rsidRDefault="009650A8" w:rsidP="009650A8">
      <w:pPr>
        <w:shd w:val="clear" w:color="auto" w:fill="FFFFFF"/>
        <w:spacing w:before="120" w:after="120" w:line="280" w:lineRule="exac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Общата оценка </w:t>
      </w:r>
      <w:r>
        <w:rPr>
          <w:rFonts w:ascii="Verdana" w:hAnsi="Verdana"/>
          <w:bCs/>
          <w:sz w:val="20"/>
          <w:szCs w:val="20"/>
          <w:lang w:val="bg-BG"/>
        </w:rPr>
        <w:t xml:space="preserve">се изчислява по формулата: </w:t>
      </w:r>
      <w:proofErr w:type="spellStart"/>
      <w:r>
        <w:rPr>
          <w:rFonts w:ascii="Verdana" w:hAnsi="Verdana"/>
          <w:b/>
          <w:bCs/>
          <w:sz w:val="20"/>
          <w:szCs w:val="20"/>
          <w:lang w:val="bg-BG"/>
        </w:rPr>
        <w:t>КОn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= </w:t>
      </w:r>
      <w:proofErr w:type="spellStart"/>
      <w:r>
        <w:rPr>
          <w:rFonts w:ascii="Verdana" w:hAnsi="Verdana"/>
          <w:b/>
          <w:bCs/>
          <w:sz w:val="20"/>
          <w:szCs w:val="20"/>
          <w:lang w:val="bg-BG"/>
        </w:rPr>
        <w:t>Кn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x 60% + </w:t>
      </w:r>
      <w:proofErr w:type="spellStart"/>
      <w:r>
        <w:rPr>
          <w:rFonts w:ascii="Verdana" w:hAnsi="Verdana"/>
          <w:b/>
          <w:bCs/>
          <w:sz w:val="20"/>
          <w:szCs w:val="20"/>
          <w:lang w:val="bg-BG"/>
        </w:rPr>
        <w:t>Цn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х 40%</w:t>
      </w:r>
    </w:p>
    <w:p w14:paraId="5EFA940C" w14:textId="77777777" w:rsidR="009650A8" w:rsidRDefault="009650A8" w:rsidP="009650A8">
      <w:pPr>
        <w:rPr>
          <w:rFonts w:ascii="Verdana" w:hAnsi="Verdana" w:cs="Verdana"/>
          <w:sz w:val="20"/>
          <w:szCs w:val="20"/>
          <w:lang w:val="bg-BG"/>
        </w:rPr>
      </w:pPr>
    </w:p>
    <w:p w14:paraId="6CE9265D" w14:textId="39245C93" w:rsidR="00C056A4" w:rsidRPr="00944687" w:rsidRDefault="009650A8" w:rsidP="00944687">
      <w:pPr>
        <w:spacing w:before="120" w:after="12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bg-BG"/>
        </w:rPr>
        <w:t>Забележка: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настоящата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Методика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значението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думите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използвани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нея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следва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</w:t>
      </w:r>
      <w:proofErr w:type="spellEnd"/>
      <w:r>
        <w:rPr>
          <w:rFonts w:ascii="Verdana" w:hAnsi="Verdana"/>
          <w:sz w:val="20"/>
          <w:szCs w:val="20"/>
        </w:rPr>
        <w:t xml:space="preserve"> е </w:t>
      </w:r>
      <w:proofErr w:type="spellStart"/>
      <w:r>
        <w:rPr>
          <w:rFonts w:ascii="Verdana" w:hAnsi="Verdana"/>
          <w:sz w:val="20"/>
          <w:szCs w:val="20"/>
        </w:rPr>
        <w:t>според</w:t>
      </w:r>
      <w:proofErr w:type="spellEnd"/>
      <w:r>
        <w:rPr>
          <w:rFonts w:ascii="Verdana" w:hAnsi="Verdana"/>
          <w:sz w:val="20"/>
          <w:szCs w:val="20"/>
        </w:rPr>
        <w:t xml:space="preserve"> „</w:t>
      </w:r>
      <w:proofErr w:type="spellStart"/>
      <w:r>
        <w:rPr>
          <w:rFonts w:ascii="Verdana" w:hAnsi="Verdana"/>
          <w:sz w:val="20"/>
          <w:szCs w:val="20"/>
        </w:rPr>
        <w:t>Речник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българския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език</w:t>
      </w:r>
      <w:proofErr w:type="spellEnd"/>
      <w:r>
        <w:rPr>
          <w:rFonts w:ascii="Verdana" w:hAnsi="Verdana"/>
          <w:sz w:val="20"/>
          <w:szCs w:val="20"/>
        </w:rPr>
        <w:t xml:space="preserve"> – БАН“</w:t>
      </w:r>
      <w:bookmarkStart w:id="0" w:name="_GoBack"/>
      <w:bookmarkEnd w:id="0"/>
    </w:p>
    <w:sectPr w:rsidR="00C056A4" w:rsidRPr="00944687" w:rsidSect="00624D62">
      <w:headerReference w:type="default" r:id="rId8"/>
      <w:footerReference w:type="default" r:id="rId9"/>
      <w:pgSz w:w="12240" w:h="15840"/>
      <w:pgMar w:top="709" w:right="1183" w:bottom="720" w:left="1134" w:header="567" w:footer="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86AF3" w14:textId="77777777" w:rsidR="00233FD7" w:rsidRDefault="00233FD7" w:rsidP="00B15A1F">
      <w:pPr>
        <w:spacing w:after="0" w:line="240" w:lineRule="auto"/>
      </w:pPr>
      <w:r>
        <w:separator/>
      </w:r>
    </w:p>
  </w:endnote>
  <w:endnote w:type="continuationSeparator" w:id="0">
    <w:p w14:paraId="5D29544C" w14:textId="77777777" w:rsidR="00233FD7" w:rsidRDefault="00233FD7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814729"/>
      <w:docPartObj>
        <w:docPartGallery w:val="Page Numbers (Bottom of Page)"/>
        <w:docPartUnique/>
      </w:docPartObj>
    </w:sdtPr>
    <w:sdtEndPr/>
    <w:sdtContent>
      <w:sdt>
        <w:sdtPr>
          <w:id w:val="2096825467"/>
          <w:docPartObj>
            <w:docPartGallery w:val="Page Numbers (Top of Page)"/>
            <w:docPartUnique/>
          </w:docPartObj>
        </w:sdtPr>
        <w:sdtEndPr/>
        <w:sdtContent>
          <w:p w14:paraId="75A18E6C" w14:textId="77777777" w:rsidR="006E40DF" w:rsidRPr="00AD68B3" w:rsidRDefault="006E40DF" w:rsidP="006E40DF">
            <w:pPr>
              <w:pStyle w:val="a8"/>
              <w:jc w:val="center"/>
              <w:rPr>
                <w:sz w:val="16"/>
                <w:szCs w:val="16"/>
                <w:lang w:val="bg-BG"/>
              </w:rPr>
            </w:pPr>
            <w:r w:rsidRPr="00AD68B3">
              <w:rPr>
                <w:sz w:val="16"/>
                <w:szCs w:val="16"/>
                <w:lang w:val="bg-BG"/>
              </w:rPr>
              <w:t>1000 София, бул. „Княз Ал. Дондуков” №3</w:t>
            </w:r>
          </w:p>
          <w:p w14:paraId="51E1AD62" w14:textId="77777777" w:rsidR="006E40DF" w:rsidRPr="00AD68B3" w:rsidRDefault="006E40DF" w:rsidP="006E40DF">
            <w:pPr>
              <w:pStyle w:val="a8"/>
              <w:jc w:val="center"/>
              <w:rPr>
                <w:sz w:val="16"/>
                <w:szCs w:val="16"/>
                <w:lang w:val="bg-BG"/>
              </w:rPr>
            </w:pPr>
            <w:r w:rsidRPr="00AD68B3">
              <w:rPr>
                <w:sz w:val="16"/>
                <w:szCs w:val="16"/>
                <w:lang w:val="bg-BG"/>
              </w:rPr>
              <w:t>тел.: 0700 17 670; факс: 02/987 47 17</w:t>
            </w:r>
          </w:p>
          <w:p w14:paraId="59C57506" w14:textId="77777777" w:rsidR="006E40DF" w:rsidRPr="00AD68B3" w:rsidRDefault="006E40DF" w:rsidP="006E40DF">
            <w:pPr>
              <w:pStyle w:val="a8"/>
              <w:tabs>
                <w:tab w:val="center" w:pos="4535"/>
                <w:tab w:val="left" w:pos="6928"/>
              </w:tabs>
              <w:jc w:val="center"/>
              <w:rPr>
                <w:sz w:val="16"/>
                <w:szCs w:val="16"/>
                <w:lang w:val="bg-BG"/>
              </w:rPr>
            </w:pPr>
            <w:r w:rsidRPr="00AD68B3">
              <w:rPr>
                <w:sz w:val="16"/>
                <w:szCs w:val="16"/>
                <w:lang w:val="bg-BG"/>
              </w:rPr>
              <w:t>е-</w:t>
            </w:r>
            <w:proofErr w:type="spellStart"/>
            <w:r w:rsidRPr="00AD68B3">
              <w:rPr>
                <w:sz w:val="16"/>
                <w:szCs w:val="16"/>
                <w:lang w:val="bg-BG"/>
              </w:rPr>
              <w:t>mail</w:t>
            </w:r>
            <w:proofErr w:type="spellEnd"/>
            <w:r w:rsidRPr="00AD68B3">
              <w:rPr>
                <w:sz w:val="16"/>
                <w:szCs w:val="16"/>
                <w:lang w:val="bg-BG"/>
              </w:rPr>
              <w:t xml:space="preserve">: </w:t>
            </w:r>
            <w:hyperlink r:id="rId1" w:history="1">
              <w:r w:rsidRPr="00AD68B3">
                <w:rPr>
                  <w:rStyle w:val="a5"/>
                  <w:sz w:val="16"/>
                  <w:szCs w:val="16"/>
                  <w:lang w:val="bg-BG"/>
                </w:rPr>
                <w:t>info@gli.government.bg</w:t>
              </w:r>
            </w:hyperlink>
          </w:p>
          <w:p w14:paraId="07273AA7" w14:textId="77777777" w:rsidR="006E40DF" w:rsidRDefault="006E40DF" w:rsidP="006E40DF">
            <w:pPr>
              <w:pStyle w:val="a8"/>
              <w:tabs>
                <w:tab w:val="right" w:pos="9100"/>
              </w:tabs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AD68B3">
              <w:rPr>
                <w:sz w:val="16"/>
                <w:szCs w:val="16"/>
                <w:lang w:val="bg-BG"/>
              </w:rPr>
              <w:t>web</w:t>
            </w:r>
            <w:proofErr w:type="spellEnd"/>
            <w:r w:rsidRPr="00AD68B3">
              <w:rPr>
                <w:sz w:val="16"/>
                <w:szCs w:val="16"/>
                <w:lang w:val="bg-BG"/>
              </w:rPr>
              <w:t xml:space="preserve">: </w:t>
            </w:r>
            <w:hyperlink r:id="rId2" w:history="1">
              <w:r w:rsidRPr="00C75F46">
                <w:rPr>
                  <w:rStyle w:val="a5"/>
                  <w:sz w:val="16"/>
                  <w:szCs w:val="16"/>
                  <w:lang w:val="bg-BG"/>
                </w:rPr>
                <w:t>www.gli.government.bg</w:t>
              </w:r>
            </w:hyperlink>
          </w:p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944687">
              <w:rPr>
                <w:b/>
                <w:bCs/>
                <w:noProof/>
                <w:sz w:val="16"/>
                <w:szCs w:val="16"/>
              </w:rPr>
              <w:t>6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944687">
              <w:rPr>
                <w:b/>
                <w:bCs/>
                <w:noProof/>
                <w:sz w:val="16"/>
                <w:szCs w:val="16"/>
              </w:rPr>
              <w:t>7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24472" w14:textId="77777777" w:rsidR="00233FD7" w:rsidRDefault="00233FD7" w:rsidP="00B15A1F">
      <w:pPr>
        <w:spacing w:after="0" w:line="240" w:lineRule="auto"/>
      </w:pPr>
      <w:r>
        <w:separator/>
      </w:r>
    </w:p>
  </w:footnote>
  <w:footnote w:type="continuationSeparator" w:id="0">
    <w:p w14:paraId="3F3D4BFA" w14:textId="77777777" w:rsidR="00233FD7" w:rsidRDefault="00233FD7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65"/>
      <w:gridCol w:w="5444"/>
      <w:gridCol w:w="2263"/>
    </w:tblGrid>
    <w:tr w:rsidR="006E40DF" w:rsidRPr="009D41D9" w14:paraId="1DD26C3C" w14:textId="77777777" w:rsidTr="009229AE">
      <w:tc>
        <w:tcPr>
          <w:tcW w:w="1365" w:type="dxa"/>
        </w:tcPr>
        <w:p w14:paraId="339FDA4A" w14:textId="77777777" w:rsidR="006E40DF" w:rsidRPr="009D41D9" w:rsidRDefault="006E40DF" w:rsidP="006E40DF">
          <w:pPr>
            <w:pStyle w:val="a6"/>
          </w:pPr>
          <w:r w:rsidRPr="009D41D9">
            <w:rPr>
              <w:noProof/>
              <w:lang w:val="bg-BG" w:eastAsia="bg-BG"/>
            </w:rPr>
            <w:drawing>
              <wp:inline distT="0" distB="0" distL="0" distR="0" wp14:anchorId="2C8EF059" wp14:editId="02A742CE">
                <wp:extent cx="695325" cy="819150"/>
                <wp:effectExtent l="0" t="0" r="9525" b="0"/>
                <wp:docPr id="43" name="Картина 43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4" w:type="dxa"/>
          <w:vAlign w:val="center"/>
        </w:tcPr>
        <w:p w14:paraId="168625DF" w14:textId="77777777" w:rsidR="006E40DF" w:rsidRPr="003A107A" w:rsidRDefault="006E40DF" w:rsidP="006E40DF">
          <w:pPr>
            <w:pStyle w:val="a6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3A107A">
            <w:rPr>
              <w:rFonts w:ascii="Helen Bg Cond" w:hAnsi="Helen Bg Cond"/>
              <w:sz w:val="26"/>
              <w:szCs w:val="26"/>
              <w:lang w:val="bg-BG"/>
            </w:rPr>
            <w:t>РЕПУБЛИКА БЪЛГАРИЯ</w:t>
          </w:r>
        </w:p>
        <w:p w14:paraId="33679F73" w14:textId="77777777" w:rsidR="006E40DF" w:rsidRPr="003A107A" w:rsidRDefault="006E40DF" w:rsidP="006E40DF">
          <w:pPr>
            <w:pStyle w:val="a6"/>
            <w:rPr>
              <w:rFonts w:ascii="Helen Bg Cond" w:hAnsi="Helen Bg Cond"/>
              <w:sz w:val="26"/>
              <w:szCs w:val="26"/>
              <w:lang w:val="bg-BG"/>
            </w:rPr>
          </w:pPr>
          <w:r w:rsidRPr="003A107A">
            <w:rPr>
              <w:rFonts w:ascii="Helen Bg Cond" w:hAnsi="Helen Bg Cond"/>
              <w:sz w:val="26"/>
              <w:szCs w:val="26"/>
              <w:lang w:val="bg-BG"/>
            </w:rPr>
            <w:t xml:space="preserve">Изпълнителна агенция </w:t>
          </w:r>
        </w:p>
        <w:p w14:paraId="295CC48A" w14:textId="77777777" w:rsidR="006E40DF" w:rsidRPr="003A107A" w:rsidRDefault="006E40DF" w:rsidP="006E40DF">
          <w:pPr>
            <w:pStyle w:val="a6"/>
            <w:rPr>
              <w:rFonts w:ascii="Helen Bg Cond" w:hAnsi="Helen Bg Cond"/>
              <w:sz w:val="26"/>
              <w:szCs w:val="26"/>
              <w:lang w:val="bg-BG"/>
            </w:rPr>
          </w:pPr>
          <w:r w:rsidRPr="003A107A">
            <w:rPr>
              <w:rFonts w:ascii="Helen Bg Cond" w:hAnsi="Helen Bg Cond"/>
              <w:sz w:val="26"/>
              <w:szCs w:val="26"/>
              <w:lang w:val="bg-BG"/>
            </w:rPr>
            <w:t xml:space="preserve">„Главна инспекция по труда” </w:t>
          </w:r>
        </w:p>
      </w:tc>
      <w:tc>
        <w:tcPr>
          <w:tcW w:w="2263" w:type="dxa"/>
          <w:shd w:val="clear" w:color="auto" w:fill="auto"/>
        </w:tcPr>
        <w:p w14:paraId="66EC99BA" w14:textId="77777777" w:rsidR="006E40DF" w:rsidRPr="009D41D9" w:rsidRDefault="006E40DF" w:rsidP="006E40DF">
          <w:pPr>
            <w:spacing w:after="0" w:line="240" w:lineRule="auto"/>
            <w:rPr>
              <w:lang w:val="ru-RU"/>
            </w:rPr>
          </w:pPr>
          <w:r w:rsidRPr="003A107A"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65BA7C5A" wp14:editId="3E416649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44" name="Картина 44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57A2A5" w14:textId="5DF28592" w:rsidR="00636CFA" w:rsidRPr="006E40DF" w:rsidRDefault="006E40DF" w:rsidP="006E40DF">
    <w:pPr>
      <w:pStyle w:val="a6"/>
    </w:pPr>
    <w:r>
      <w:rPr>
        <w:noProof/>
        <w:lang w:val="bg-BG" w:eastAsia="bg-BG"/>
      </w:rPr>
      <w:drawing>
        <wp:inline distT="0" distB="0" distL="0" distR="0" wp14:anchorId="3BFB1DC9" wp14:editId="2BB28981">
          <wp:extent cx="5838190" cy="76200"/>
          <wp:effectExtent l="0" t="0" r="0" b="0"/>
          <wp:docPr id="45" name="Картина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3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073A"/>
    <w:multiLevelType w:val="hybridMultilevel"/>
    <w:tmpl w:val="EC7A82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8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D425D"/>
    <w:multiLevelType w:val="hybridMultilevel"/>
    <w:tmpl w:val="24ECE8A8"/>
    <w:lvl w:ilvl="0" w:tplc="108E90AA">
      <w:start w:val="1"/>
      <w:numFmt w:val="decimal"/>
      <w:lvlText w:val="%1."/>
      <w:lvlJc w:val="left"/>
      <w:pPr>
        <w:ind w:left="1070" w:hanging="360"/>
      </w:pPr>
      <w:rPr>
        <w:rFonts w:ascii="Verdana" w:eastAsia="Calibri" w:hAnsi="Verdana" w:cs="Times New Roman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2A5A74"/>
    <w:multiLevelType w:val="hybridMultilevel"/>
    <w:tmpl w:val="A15EFF52"/>
    <w:lvl w:ilvl="0" w:tplc="9AAAFD6C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A5554"/>
    <w:multiLevelType w:val="hybridMultilevel"/>
    <w:tmpl w:val="076E54A6"/>
    <w:lvl w:ilvl="0" w:tplc="EABE0B8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7"/>
  </w:num>
  <w:num w:numId="3">
    <w:abstractNumId w:val="25"/>
  </w:num>
  <w:num w:numId="4">
    <w:abstractNumId w:val="9"/>
  </w:num>
  <w:num w:numId="5">
    <w:abstractNumId w:val="11"/>
  </w:num>
  <w:num w:numId="6">
    <w:abstractNumId w:val="21"/>
  </w:num>
  <w:num w:numId="7">
    <w:abstractNumId w:val="27"/>
  </w:num>
  <w:num w:numId="8">
    <w:abstractNumId w:val="16"/>
  </w:num>
  <w:num w:numId="9">
    <w:abstractNumId w:val="29"/>
  </w:num>
  <w:num w:numId="10">
    <w:abstractNumId w:val="22"/>
  </w:num>
  <w:num w:numId="11">
    <w:abstractNumId w:val="24"/>
  </w:num>
  <w:num w:numId="12">
    <w:abstractNumId w:val="14"/>
  </w:num>
  <w:num w:numId="13">
    <w:abstractNumId w:val="6"/>
  </w:num>
  <w:num w:numId="14">
    <w:abstractNumId w:val="17"/>
  </w:num>
  <w:num w:numId="15">
    <w:abstractNumId w:val="28"/>
  </w:num>
  <w:num w:numId="16">
    <w:abstractNumId w:val="12"/>
  </w:num>
  <w:num w:numId="17">
    <w:abstractNumId w:val="3"/>
  </w:num>
  <w:num w:numId="18">
    <w:abstractNumId w:val="2"/>
  </w:num>
  <w:num w:numId="19">
    <w:abstractNumId w:val="23"/>
  </w:num>
  <w:num w:numId="20">
    <w:abstractNumId w:val="8"/>
  </w:num>
  <w:num w:numId="21">
    <w:abstractNumId w:val="20"/>
  </w:num>
  <w:num w:numId="22">
    <w:abstractNumId w:val="13"/>
  </w:num>
  <w:num w:numId="23">
    <w:abstractNumId w:val="10"/>
  </w:num>
  <w:num w:numId="24">
    <w:abstractNumId w:val="4"/>
  </w:num>
  <w:num w:numId="25">
    <w:abstractNumId w:val="7"/>
  </w:num>
  <w:num w:numId="26">
    <w:abstractNumId w:val="18"/>
  </w:num>
  <w:num w:numId="27">
    <w:abstractNumId w:val="30"/>
  </w:num>
  <w:num w:numId="28">
    <w:abstractNumId w:val="19"/>
  </w:num>
  <w:num w:numId="29">
    <w:abstractNumId w:val="26"/>
  </w:num>
  <w:num w:numId="30">
    <w:abstractNumId w:val="5"/>
  </w:num>
  <w:num w:numId="31">
    <w:abstractNumId w:val="0"/>
    <w:lvlOverride w:ilvl="0"/>
  </w:num>
  <w:num w:numId="32">
    <w:abstractNumId w:val="1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166D"/>
    <w:rsid w:val="000023F7"/>
    <w:rsid w:val="000031E3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179"/>
    <w:rsid w:val="000774E0"/>
    <w:rsid w:val="000904BA"/>
    <w:rsid w:val="00090CDF"/>
    <w:rsid w:val="00091CE2"/>
    <w:rsid w:val="000A21FF"/>
    <w:rsid w:val="000A2A01"/>
    <w:rsid w:val="000A3D1A"/>
    <w:rsid w:val="000A3D6A"/>
    <w:rsid w:val="000A44AB"/>
    <w:rsid w:val="000B193F"/>
    <w:rsid w:val="000B1E21"/>
    <w:rsid w:val="000B202B"/>
    <w:rsid w:val="000B3B6D"/>
    <w:rsid w:val="000B6C8F"/>
    <w:rsid w:val="000C02AA"/>
    <w:rsid w:val="000C09CB"/>
    <w:rsid w:val="000C0C57"/>
    <w:rsid w:val="000C7245"/>
    <w:rsid w:val="000C7F38"/>
    <w:rsid w:val="000D0008"/>
    <w:rsid w:val="000D39D0"/>
    <w:rsid w:val="000D76D0"/>
    <w:rsid w:val="000E08E7"/>
    <w:rsid w:val="000E46FC"/>
    <w:rsid w:val="000F0FB9"/>
    <w:rsid w:val="000F6CF1"/>
    <w:rsid w:val="000F7F0B"/>
    <w:rsid w:val="0010055D"/>
    <w:rsid w:val="00101120"/>
    <w:rsid w:val="001065EE"/>
    <w:rsid w:val="001071B7"/>
    <w:rsid w:val="00107FFB"/>
    <w:rsid w:val="00110F8E"/>
    <w:rsid w:val="00111286"/>
    <w:rsid w:val="00113A89"/>
    <w:rsid w:val="00116205"/>
    <w:rsid w:val="00116767"/>
    <w:rsid w:val="00117545"/>
    <w:rsid w:val="00121BCB"/>
    <w:rsid w:val="00127BEA"/>
    <w:rsid w:val="001329C2"/>
    <w:rsid w:val="00134EFF"/>
    <w:rsid w:val="001442AB"/>
    <w:rsid w:val="00154F6E"/>
    <w:rsid w:val="00156EFE"/>
    <w:rsid w:val="001610EA"/>
    <w:rsid w:val="001651E4"/>
    <w:rsid w:val="001755D7"/>
    <w:rsid w:val="00177386"/>
    <w:rsid w:val="001823F3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B3487"/>
    <w:rsid w:val="001C0564"/>
    <w:rsid w:val="001C0ECE"/>
    <w:rsid w:val="001C22AF"/>
    <w:rsid w:val="001C238B"/>
    <w:rsid w:val="001C31CD"/>
    <w:rsid w:val="001C5E0F"/>
    <w:rsid w:val="001D1688"/>
    <w:rsid w:val="001D3C12"/>
    <w:rsid w:val="001D76EB"/>
    <w:rsid w:val="001E2676"/>
    <w:rsid w:val="001E4EAB"/>
    <w:rsid w:val="001E7E1E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2B63"/>
    <w:rsid w:val="00223460"/>
    <w:rsid w:val="00230A42"/>
    <w:rsid w:val="00233668"/>
    <w:rsid w:val="00233FD7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1852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4040"/>
    <w:rsid w:val="00305373"/>
    <w:rsid w:val="00305574"/>
    <w:rsid w:val="00312D66"/>
    <w:rsid w:val="0031388E"/>
    <w:rsid w:val="00316EF4"/>
    <w:rsid w:val="00320DBC"/>
    <w:rsid w:val="00323211"/>
    <w:rsid w:val="00323A12"/>
    <w:rsid w:val="003241EF"/>
    <w:rsid w:val="00330C62"/>
    <w:rsid w:val="00331DAE"/>
    <w:rsid w:val="00337240"/>
    <w:rsid w:val="003418F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0154"/>
    <w:rsid w:val="003860A6"/>
    <w:rsid w:val="0039193B"/>
    <w:rsid w:val="003A0A02"/>
    <w:rsid w:val="003A0D2F"/>
    <w:rsid w:val="003A21C1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1904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0517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559E"/>
    <w:rsid w:val="004B3249"/>
    <w:rsid w:val="004B4EFA"/>
    <w:rsid w:val="004C18C4"/>
    <w:rsid w:val="004C1E31"/>
    <w:rsid w:val="004D3D65"/>
    <w:rsid w:val="004D4195"/>
    <w:rsid w:val="004D4848"/>
    <w:rsid w:val="004D6222"/>
    <w:rsid w:val="004D7F08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164C3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A80"/>
    <w:rsid w:val="00590D8C"/>
    <w:rsid w:val="005931B1"/>
    <w:rsid w:val="005947B6"/>
    <w:rsid w:val="00596447"/>
    <w:rsid w:val="005B6466"/>
    <w:rsid w:val="005C0870"/>
    <w:rsid w:val="005C50AD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24D62"/>
    <w:rsid w:val="0063051F"/>
    <w:rsid w:val="00636CFA"/>
    <w:rsid w:val="00641612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979B1"/>
    <w:rsid w:val="006A0246"/>
    <w:rsid w:val="006A134A"/>
    <w:rsid w:val="006A21B3"/>
    <w:rsid w:val="006A6422"/>
    <w:rsid w:val="006A6BBC"/>
    <w:rsid w:val="006B14FA"/>
    <w:rsid w:val="006B5BA0"/>
    <w:rsid w:val="006C6808"/>
    <w:rsid w:val="006D2383"/>
    <w:rsid w:val="006E40DF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557E"/>
    <w:rsid w:val="00736350"/>
    <w:rsid w:val="0074118A"/>
    <w:rsid w:val="007430BC"/>
    <w:rsid w:val="00750595"/>
    <w:rsid w:val="00750A56"/>
    <w:rsid w:val="00750AB4"/>
    <w:rsid w:val="007547C5"/>
    <w:rsid w:val="00755BBE"/>
    <w:rsid w:val="007568A6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3FD9"/>
    <w:rsid w:val="007C6538"/>
    <w:rsid w:val="007D0726"/>
    <w:rsid w:val="007D14A0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413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766D9"/>
    <w:rsid w:val="008801D2"/>
    <w:rsid w:val="00880CCD"/>
    <w:rsid w:val="00890FE7"/>
    <w:rsid w:val="00892DCA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4B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44FC"/>
    <w:rsid w:val="00935929"/>
    <w:rsid w:val="0093666C"/>
    <w:rsid w:val="00944687"/>
    <w:rsid w:val="009509DF"/>
    <w:rsid w:val="009545B4"/>
    <w:rsid w:val="0095479D"/>
    <w:rsid w:val="00964E61"/>
    <w:rsid w:val="009650A8"/>
    <w:rsid w:val="00965CFD"/>
    <w:rsid w:val="009664B6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577D"/>
    <w:rsid w:val="009C11AE"/>
    <w:rsid w:val="009C20C7"/>
    <w:rsid w:val="009C2DD0"/>
    <w:rsid w:val="009C4C47"/>
    <w:rsid w:val="009D34E5"/>
    <w:rsid w:val="009D4412"/>
    <w:rsid w:val="009E0713"/>
    <w:rsid w:val="009E4088"/>
    <w:rsid w:val="009F0AA4"/>
    <w:rsid w:val="009F77C9"/>
    <w:rsid w:val="00A012C9"/>
    <w:rsid w:val="00A04983"/>
    <w:rsid w:val="00A20BAD"/>
    <w:rsid w:val="00A36EF7"/>
    <w:rsid w:val="00A421EC"/>
    <w:rsid w:val="00A47010"/>
    <w:rsid w:val="00A520FB"/>
    <w:rsid w:val="00A521AC"/>
    <w:rsid w:val="00A52D71"/>
    <w:rsid w:val="00A604CD"/>
    <w:rsid w:val="00A660E1"/>
    <w:rsid w:val="00A717C8"/>
    <w:rsid w:val="00A725EB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3AAF"/>
    <w:rsid w:val="00AD4121"/>
    <w:rsid w:val="00AD4EE7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94"/>
    <w:rsid w:val="00B418AF"/>
    <w:rsid w:val="00B43049"/>
    <w:rsid w:val="00B63457"/>
    <w:rsid w:val="00B6445D"/>
    <w:rsid w:val="00B648C0"/>
    <w:rsid w:val="00B65128"/>
    <w:rsid w:val="00B66B5C"/>
    <w:rsid w:val="00B7012E"/>
    <w:rsid w:val="00B71F5C"/>
    <w:rsid w:val="00B774FC"/>
    <w:rsid w:val="00B82C76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C6DA3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056A4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D8B"/>
    <w:rsid w:val="00C45E40"/>
    <w:rsid w:val="00C46508"/>
    <w:rsid w:val="00C5761A"/>
    <w:rsid w:val="00C66A6C"/>
    <w:rsid w:val="00C70CCA"/>
    <w:rsid w:val="00C70E4D"/>
    <w:rsid w:val="00C760E7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297C"/>
    <w:rsid w:val="00CD4DBD"/>
    <w:rsid w:val="00CD6378"/>
    <w:rsid w:val="00CD698A"/>
    <w:rsid w:val="00CD7A74"/>
    <w:rsid w:val="00CE0020"/>
    <w:rsid w:val="00CE237A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258D5"/>
    <w:rsid w:val="00D302C0"/>
    <w:rsid w:val="00D33CEF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293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0108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3E36"/>
    <w:rsid w:val="00E0568C"/>
    <w:rsid w:val="00E0668A"/>
    <w:rsid w:val="00E0711D"/>
    <w:rsid w:val="00E07DB8"/>
    <w:rsid w:val="00E14C64"/>
    <w:rsid w:val="00E17016"/>
    <w:rsid w:val="00E2075D"/>
    <w:rsid w:val="00E21E2F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151"/>
    <w:rsid w:val="00E868D2"/>
    <w:rsid w:val="00E90CBD"/>
    <w:rsid w:val="00EA13E5"/>
    <w:rsid w:val="00EA253E"/>
    <w:rsid w:val="00EA4FC0"/>
    <w:rsid w:val="00EA5137"/>
    <w:rsid w:val="00EA6E13"/>
    <w:rsid w:val="00EB0CFC"/>
    <w:rsid w:val="00EB49E1"/>
    <w:rsid w:val="00EB4C13"/>
    <w:rsid w:val="00EB5279"/>
    <w:rsid w:val="00EC080B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5AB"/>
    <w:rsid w:val="00F25CA5"/>
    <w:rsid w:val="00F31B59"/>
    <w:rsid w:val="00F33C31"/>
    <w:rsid w:val="00F401AB"/>
    <w:rsid w:val="00F45B73"/>
    <w:rsid w:val="00F52302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22EE"/>
    <w:rsid w:val="00FC3516"/>
    <w:rsid w:val="00FC4D11"/>
    <w:rsid w:val="00FC7618"/>
    <w:rsid w:val="00FD6129"/>
    <w:rsid w:val="00FE13A4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A8"/>
    <w:pPr>
      <w:spacing w:line="25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Body Text"/>
    <w:basedOn w:val="a"/>
    <w:link w:val="af7"/>
    <w:semiHidden/>
    <w:unhideWhenUsed/>
    <w:rsid w:val="009650A8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af7">
    <w:name w:val="Основен текст Знак"/>
    <w:basedOn w:val="a0"/>
    <w:link w:val="af6"/>
    <w:semiHidden/>
    <w:rsid w:val="009650A8"/>
    <w:rPr>
      <w:rFonts w:ascii="Arial" w:eastAsia="Times New Roman" w:hAnsi="Arial" w:cs="Arial"/>
      <w:sz w:val="20"/>
      <w:szCs w:val="20"/>
      <w:lang w:val="en-GB" w:eastAsia="zh-CN"/>
    </w:rPr>
  </w:style>
  <w:style w:type="paragraph" w:styleId="af8">
    <w:name w:val="Body Text Indent"/>
    <w:basedOn w:val="a"/>
    <w:link w:val="af9"/>
    <w:semiHidden/>
    <w:unhideWhenUsed/>
    <w:rsid w:val="009650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Основен текст с отстъп Знак"/>
    <w:basedOn w:val="a0"/>
    <w:link w:val="af8"/>
    <w:semiHidden/>
    <w:rsid w:val="009650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65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5202-CA6E-4155-A977-2C606A04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5</cp:revision>
  <cp:lastPrinted>2018-02-14T08:08:00Z</cp:lastPrinted>
  <dcterms:created xsi:type="dcterms:W3CDTF">2018-02-14T08:06:00Z</dcterms:created>
  <dcterms:modified xsi:type="dcterms:W3CDTF">2018-02-14T08:08:00Z</dcterms:modified>
</cp:coreProperties>
</file>