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FF44B" w14:textId="77777777" w:rsidR="002B1CB7" w:rsidRPr="0012417B" w:rsidRDefault="002B1CB7" w:rsidP="002B1CB7">
      <w:pPr>
        <w:pStyle w:val="Default"/>
        <w:jc w:val="center"/>
        <w:rPr>
          <w:rFonts w:ascii="Verdana" w:hAnsi="Verdana"/>
          <w:sz w:val="20"/>
          <w:szCs w:val="20"/>
        </w:rPr>
      </w:pPr>
      <w:r w:rsidRPr="0012417B">
        <w:rPr>
          <w:rFonts w:ascii="Verdana" w:hAnsi="Verdana"/>
          <w:b/>
          <w:bCs/>
          <w:iCs/>
          <w:sz w:val="20"/>
          <w:szCs w:val="20"/>
        </w:rPr>
        <w:t>МЕТОДИКА ЗА ОПРЕДЕЛЯНЕ НА КОМПЛЕКСНАТА ОЦЕНКА НА ОФЕРТИТЕ</w:t>
      </w:r>
    </w:p>
    <w:p w14:paraId="7DFD7AF4" w14:textId="77777777" w:rsidR="00252761" w:rsidRPr="0012417B" w:rsidRDefault="002B1CB7" w:rsidP="0025276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12417B">
        <w:rPr>
          <w:rFonts w:ascii="Verdana" w:hAnsi="Verdana"/>
          <w:b/>
          <w:bCs/>
          <w:sz w:val="20"/>
          <w:szCs w:val="20"/>
        </w:rPr>
        <w:t xml:space="preserve">КРИТЕРИИ, ПОКАЗАТЕЛИ, ОТНОСИТЕЛНАТА ИМ ТЕЖЕСТ И МЕТОДИКА ЗА ОПРЕДЕЛЯНЕ НА КОМПЛЕКСНАТА ОЦЕНКА НА ОФЕРТИТЕ </w:t>
      </w:r>
    </w:p>
    <w:p w14:paraId="4A3D2574" w14:textId="5F355DD1" w:rsidR="00252761" w:rsidRPr="0012417B" w:rsidRDefault="00252761" w:rsidP="0025276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12417B">
        <w:rPr>
          <w:rFonts w:ascii="Verdana" w:hAnsi="Verdana"/>
          <w:b/>
          <w:bCs/>
          <w:sz w:val="20"/>
          <w:szCs w:val="20"/>
        </w:rPr>
        <w:t xml:space="preserve">в открита процедура по ЗОП за възлагане на обществена поръчка с предмет: </w:t>
      </w:r>
    </w:p>
    <w:p w14:paraId="54A6A6EB" w14:textId="7FFA69F8" w:rsidR="005F4E35" w:rsidRPr="0012417B" w:rsidRDefault="0012417B" w:rsidP="00124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241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  <w:t>„Разработване на процедура за активизиране на комитети и групи по условия на труд (КУТ/ГУТ) в предприятията.“</w:t>
      </w:r>
    </w:p>
    <w:p w14:paraId="47812CF0" w14:textId="77777777" w:rsidR="00252761" w:rsidRPr="0012417B" w:rsidRDefault="00252761" w:rsidP="002527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14:paraId="67586ADE" w14:textId="77777777" w:rsidR="0012417B" w:rsidRDefault="0012417B" w:rsidP="007C3EBF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14:paraId="3C2CF24D" w14:textId="77777777" w:rsidR="00252761" w:rsidRPr="0012417B" w:rsidRDefault="00252761" w:rsidP="007C3EBF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12417B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I. Същност.</w:t>
      </w:r>
    </w:p>
    <w:p w14:paraId="0D045DDE" w14:textId="1D6A044E" w:rsidR="00252761" w:rsidRPr="0012417B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1. Оценяването и класирането на офертите на участниците се извършва по критерия „ИКОНОМИЧЕСКИ НАЙ-ИЗГОДНАТА ОФЕРТА ” съгласно чл. 70, ал. 2, т. 3 от ЗОП. Оценяването и класирането на постъпилите оферти ще се извърши в съответствие с изискван</w:t>
      </w:r>
      <w:r w:rsidR="00B933A4"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ията на ЗОП. </w:t>
      </w:r>
    </w:p>
    <w:p w14:paraId="238AC4B4" w14:textId="78F923CE" w:rsidR="00252761" w:rsidRPr="0012417B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2. Настоящата методика за определяне на комплексната оценка на офертите представлява съвкупност от правила, посредством</w:t>
      </w:r>
      <w:r w:rsidR="007C3EBF"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които ще се оцени съответствието между изискванията на възложителя и предоставените оферти, с оглед определяне на предложението, което ще удовлетвори потребностите на възложителя по оптимал</w:t>
      </w:r>
      <w:r w:rsidR="00B933A4"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>ен, ефективен и ефикасен начин.</w:t>
      </w:r>
    </w:p>
    <w:p w14:paraId="731232F4" w14:textId="08DF8A94" w:rsidR="00252761" w:rsidRPr="0012417B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3. На комплексна оценка за оценяване на икономически най-изгодната оферта съгласно чл. 70, ал. 2, т. 3 от ЗОП</w:t>
      </w:r>
      <w:r w:rsidR="007C3EBF"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подлежат офертите на участници в процедурата, които не са отстранени от участие в процедурата и които отговарят на предварително об</w:t>
      </w:r>
      <w:r w:rsidR="00B933A4"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>явените условия за допустимост.</w:t>
      </w:r>
    </w:p>
    <w:p w14:paraId="6EE13548" w14:textId="0D6F2391" w:rsidR="00252761" w:rsidRPr="0012417B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4. Участниците, чиито технически и ценови предложения не отговарят на изискванията на Възложителя, ще бъдат отстранени от по-нататъшно участие поради несъответствие с услов</w:t>
      </w:r>
      <w:r w:rsidR="00B933A4"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>ията, поставени от възложителя.</w:t>
      </w:r>
    </w:p>
    <w:p w14:paraId="55646023" w14:textId="46DA33AC" w:rsidR="00252761" w:rsidRPr="0012417B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5. Класирането на офертите се извършва по низходящ ред на получената обща оценка, изчислена на база показателите за оценка, като на първо място се класира офертата с най-висока обща оценка. Оценките по отделните показатели се представят в числово изражение с точност до втория</w:t>
      </w:r>
      <w:r w:rsidR="00B933A4"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знак след десетичната запетая.</w:t>
      </w:r>
    </w:p>
    <w:p w14:paraId="65F45CC4" w14:textId="77A7062B" w:rsidR="00252761" w:rsidRPr="0012417B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6. Показателите и относителна тежест в комплексната оценка са опи</w:t>
      </w:r>
      <w:r w:rsidR="00B933A4"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>сани в настоящата документация.</w:t>
      </w:r>
    </w:p>
    <w:p w14:paraId="59CB2453" w14:textId="0FD3708F" w:rsidR="00252761" w:rsidRPr="0012417B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7. Цените се предлагат в български лева, без включен ДДС, до втория </w:t>
      </w:r>
      <w:r w:rsidR="00B933A4"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знак след десетичната запетая. </w:t>
      </w:r>
    </w:p>
    <w:p w14:paraId="613D7CC9" w14:textId="77777777" w:rsidR="00252761" w:rsidRPr="0012417B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8. В случай че комплексните оценки на две или повече оферти са равни се прилагат разпоредбите на чл. 58 от ППЗОП. </w:t>
      </w:r>
    </w:p>
    <w:p w14:paraId="412F513E" w14:textId="77777777" w:rsidR="00252761" w:rsidRPr="0012417B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14:paraId="185E6F66" w14:textId="163E5059" w:rsidR="005F4E35" w:rsidRPr="0012417B" w:rsidRDefault="005F4E35" w:rsidP="0025276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>Оценяването на офертите, които отговарят на предварително обявените от възложителя условия и са допуснати до разглеждане и оценяване, ще бъде извършено съгласно критерия „икономически най-изгодна оферта</w:t>
      </w:r>
      <w:r w:rsidR="00503FB8"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въз основа на оптимално съотношение качество/цена</w:t>
      </w: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>”</w:t>
      </w:r>
      <w:r w:rsidR="007C3EBF"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503FB8"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>чрез</w:t>
      </w:r>
      <w:r w:rsidRPr="0012417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следните показатели:</w:t>
      </w:r>
    </w:p>
    <w:p w14:paraId="286B932E" w14:textId="77777777" w:rsidR="005F4E35" w:rsidRPr="0012417B" w:rsidRDefault="005F4E35" w:rsidP="005F4E35">
      <w:pPr>
        <w:spacing w:before="60" w:after="6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14:paraId="4DE790A4" w14:textId="77777777" w:rsidR="0012417B" w:rsidRDefault="0012417B" w:rsidP="0012417B">
      <w:pPr>
        <w:suppressAutoHyphens/>
        <w:spacing w:before="29" w:after="0" w:line="240" w:lineRule="auto"/>
        <w:ind w:left="715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</w:p>
    <w:p w14:paraId="18DE3849" w14:textId="77777777" w:rsidR="00395CA0" w:rsidRDefault="00395CA0" w:rsidP="0012417B">
      <w:pPr>
        <w:suppressAutoHyphens/>
        <w:spacing w:before="29" w:after="0" w:line="240" w:lineRule="auto"/>
        <w:ind w:left="715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</w:p>
    <w:p w14:paraId="202211F4" w14:textId="77777777" w:rsidR="00395CA0" w:rsidRDefault="00395CA0" w:rsidP="0012417B">
      <w:pPr>
        <w:suppressAutoHyphens/>
        <w:spacing w:before="29" w:after="0" w:line="240" w:lineRule="auto"/>
        <w:ind w:left="715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</w:p>
    <w:p w14:paraId="15E9AC92" w14:textId="77777777" w:rsidR="0012417B" w:rsidRPr="0012417B" w:rsidRDefault="0012417B" w:rsidP="0012417B">
      <w:pPr>
        <w:suppressAutoHyphens/>
        <w:spacing w:before="29" w:after="0" w:line="240" w:lineRule="auto"/>
        <w:ind w:left="715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II. Показатели за оценка на офертите и тяхната относителна тежест:</w:t>
      </w:r>
    </w:p>
    <w:p w14:paraId="408E10E4" w14:textId="77777777" w:rsidR="0012417B" w:rsidRPr="0012417B" w:rsidRDefault="0012417B" w:rsidP="0012417B">
      <w:pPr>
        <w:suppressAutoHyphens/>
        <w:spacing w:before="211" w:after="0" w:line="240" w:lineRule="auto"/>
        <w:ind w:left="72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Показателите за оценка на офертите са:</w:t>
      </w:r>
    </w:p>
    <w:p w14:paraId="252AC8FB" w14:textId="77777777" w:rsidR="0012417B" w:rsidRPr="0012417B" w:rsidRDefault="0012417B" w:rsidP="0012417B">
      <w:pPr>
        <w:widowControl w:val="0"/>
        <w:numPr>
          <w:ilvl w:val="0"/>
          <w:numId w:val="47"/>
        </w:numPr>
        <w:tabs>
          <w:tab w:val="left" w:pos="1560"/>
        </w:tabs>
        <w:suppressAutoHyphens/>
        <w:spacing w:before="235" w:after="0" w:line="240" w:lineRule="auto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Качество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с 60% тежест на оценката.</w:t>
      </w:r>
    </w:p>
    <w:p w14:paraId="756D09F7" w14:textId="77777777" w:rsidR="0012417B" w:rsidRPr="0012417B" w:rsidRDefault="0012417B" w:rsidP="0012417B">
      <w:pPr>
        <w:widowControl w:val="0"/>
        <w:numPr>
          <w:ilvl w:val="0"/>
          <w:numId w:val="47"/>
        </w:numPr>
        <w:tabs>
          <w:tab w:val="left" w:pos="1560"/>
        </w:tabs>
        <w:suppressAutoHyphens/>
        <w:spacing w:before="187" w:after="0" w:line="240" w:lineRule="auto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Цена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с 40% тежест.</w:t>
      </w:r>
    </w:p>
    <w:p w14:paraId="73243F30" w14:textId="77777777" w:rsidR="0012417B" w:rsidRPr="0012417B" w:rsidRDefault="0012417B" w:rsidP="0012417B">
      <w:pPr>
        <w:suppressAutoHyphens/>
        <w:spacing w:before="125" w:after="0" w:line="283" w:lineRule="exact"/>
        <w:ind w:firstLine="125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Общата оценка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се изчислява по формулата: </w:t>
      </w:r>
      <w:proofErr w:type="spellStart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KOn</w:t>
      </w:r>
      <w:proofErr w:type="spellEnd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= </w:t>
      </w:r>
      <w:proofErr w:type="spellStart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Kn</w:t>
      </w:r>
      <w:proofErr w:type="spellEnd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x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60% + </w:t>
      </w:r>
      <w:proofErr w:type="spellStart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Цп</w:t>
      </w:r>
      <w:proofErr w:type="spellEnd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х 40%</w:t>
      </w:r>
    </w:p>
    <w:p w14:paraId="50991B62" w14:textId="77777777" w:rsidR="0012417B" w:rsidRPr="0012417B" w:rsidRDefault="0012417B" w:rsidP="0012417B">
      <w:pPr>
        <w:suppressAutoHyphens/>
        <w:spacing w:before="19" w:after="0" w:line="398" w:lineRule="exact"/>
        <w:ind w:left="1099"/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</w:pP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където:</w:t>
      </w:r>
    </w:p>
    <w:p w14:paraId="1CBC5DB0" w14:textId="77777777" w:rsidR="0012417B" w:rsidRPr="0012417B" w:rsidRDefault="0012417B" w:rsidP="0012417B">
      <w:pPr>
        <w:widowControl w:val="0"/>
        <w:numPr>
          <w:ilvl w:val="0"/>
          <w:numId w:val="47"/>
        </w:numPr>
        <w:tabs>
          <w:tab w:val="left" w:pos="1560"/>
        </w:tabs>
        <w:suppressAutoHyphens/>
        <w:spacing w:after="0" w:line="398" w:lineRule="exact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</w:pPr>
      <w:proofErr w:type="spellStart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>KOn</w:t>
      </w:r>
      <w:proofErr w:type="spellEnd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bidi="hi-IN"/>
        </w:rPr>
        <w:t xml:space="preserve">- общата оценка на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bidi="hi-IN"/>
        </w:rPr>
        <w:t>n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bidi="hi-IN"/>
        </w:rPr>
        <w:t>-тия участник;</w:t>
      </w:r>
    </w:p>
    <w:p w14:paraId="0162EFAD" w14:textId="77777777" w:rsidR="0012417B" w:rsidRPr="0012417B" w:rsidRDefault="0012417B" w:rsidP="0012417B">
      <w:pPr>
        <w:widowControl w:val="0"/>
        <w:numPr>
          <w:ilvl w:val="0"/>
          <w:numId w:val="47"/>
        </w:numPr>
        <w:tabs>
          <w:tab w:val="left" w:pos="1560"/>
        </w:tabs>
        <w:suppressAutoHyphens/>
        <w:spacing w:after="0" w:line="398" w:lineRule="exact"/>
        <w:ind w:left="107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proofErr w:type="spellStart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>Kn</w:t>
      </w:r>
      <w:proofErr w:type="spellEnd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bidi="hi-IN"/>
        </w:rPr>
        <w:t xml:space="preserve">- оценката на показателя за качество на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bidi="hi-IN"/>
        </w:rPr>
        <w:t>n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bidi="hi-IN"/>
        </w:rPr>
        <w:t>-тия участник;</w:t>
      </w:r>
    </w:p>
    <w:p w14:paraId="4B915EF1" w14:textId="77777777" w:rsidR="0012417B" w:rsidRPr="0012417B" w:rsidRDefault="0012417B" w:rsidP="0012417B">
      <w:pPr>
        <w:widowControl w:val="0"/>
        <w:numPr>
          <w:ilvl w:val="0"/>
          <w:numId w:val="47"/>
        </w:numPr>
        <w:tabs>
          <w:tab w:val="left" w:pos="1560"/>
        </w:tabs>
        <w:suppressAutoHyphens/>
        <w:spacing w:after="0" w:line="398" w:lineRule="exact"/>
        <w:ind w:left="1070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proofErr w:type="spellStart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Цп</w:t>
      </w:r>
      <w:proofErr w:type="spellEnd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- показател за цена, предложена от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n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-тия участник.</w:t>
      </w:r>
    </w:p>
    <w:p w14:paraId="22F42C01" w14:textId="77777777" w:rsidR="0012417B" w:rsidRPr="0012417B" w:rsidRDefault="0012417B" w:rsidP="0012417B">
      <w:pPr>
        <w:suppressAutoHyphens/>
        <w:spacing w:after="0" w:line="240" w:lineRule="exact"/>
        <w:ind w:firstLine="706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0C48E940" w14:textId="77777777" w:rsidR="0012417B" w:rsidRPr="0012417B" w:rsidRDefault="0012417B" w:rsidP="0012417B">
      <w:pPr>
        <w:suppressAutoHyphens/>
        <w:spacing w:after="0" w:line="240" w:lineRule="exact"/>
        <w:ind w:firstLine="706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6428E948" w14:textId="77777777" w:rsidR="0012417B" w:rsidRPr="0012417B" w:rsidRDefault="0012417B" w:rsidP="0012417B">
      <w:pPr>
        <w:suppressAutoHyphens/>
        <w:spacing w:before="19" w:after="0" w:line="278" w:lineRule="exact"/>
        <w:ind w:firstLine="706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III. Оценка на показателя за качество – К.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Оценява се качеството на представената концепция за изпълнение на поръчката на участника в техническото му предложение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(К).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За този показател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(К)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се присъждат максимум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100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точки. Показателят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(К) </w:t>
      </w:r>
      <w:r w:rsidRPr="0012417B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>– с тежест 60%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се определя по формулата:</w:t>
      </w:r>
    </w:p>
    <w:p w14:paraId="108A4F5E" w14:textId="77777777" w:rsidR="0012417B" w:rsidRPr="0012417B" w:rsidRDefault="0012417B" w:rsidP="0012417B">
      <w:pPr>
        <w:suppressAutoHyphens/>
        <w:spacing w:before="173" w:after="0" w:line="240" w:lineRule="auto"/>
        <w:ind w:left="720"/>
        <w:rPr>
          <w:rFonts w:ascii="Verdana" w:eastAsia="Lucida Sans Unicode" w:hAnsi="Verdana" w:cs="Mangal"/>
          <w:kern w:val="1"/>
          <w:sz w:val="20"/>
          <w:szCs w:val="20"/>
          <w:lang w:val="bg-BG" w:eastAsia="bg-BG" w:bidi="hi-IN"/>
        </w:rPr>
      </w:pP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К = К1 + К2,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където:</w:t>
      </w:r>
    </w:p>
    <w:p w14:paraId="25138551" w14:textId="77777777" w:rsidR="0012417B" w:rsidRPr="0012417B" w:rsidRDefault="0012417B" w:rsidP="0012417B">
      <w:pPr>
        <w:suppressAutoHyphens/>
        <w:spacing w:before="173" w:after="0" w:line="240" w:lineRule="auto"/>
        <w:ind w:left="720"/>
        <w:rPr>
          <w:rFonts w:ascii="Verdana" w:eastAsia="Lucida Sans Unicode" w:hAnsi="Verdana" w:cs="Mangal"/>
          <w:kern w:val="1"/>
          <w:sz w:val="20"/>
          <w:szCs w:val="20"/>
          <w:lang w:val="bg-BG" w:eastAsia="bg-BG" w:bidi="hi-IN"/>
        </w:rPr>
      </w:pPr>
    </w:p>
    <w:p w14:paraId="169BDCB1" w14:textId="77777777" w:rsidR="0012417B" w:rsidRDefault="0012417B" w:rsidP="0012417B">
      <w:pPr>
        <w:suppressAutoHyphens/>
        <w:spacing w:after="0" w:line="254" w:lineRule="exac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</w:pPr>
    </w:p>
    <w:p w14:paraId="78EE48CB" w14:textId="6035259F" w:rsidR="0012417B" w:rsidRPr="0012417B" w:rsidRDefault="0012417B" w:rsidP="0012417B">
      <w:pPr>
        <w:suppressAutoHyphens/>
        <w:spacing w:after="0" w:line="254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К1 – </w:t>
      </w:r>
      <w:proofErr w:type="spellStart"/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под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показател</w:t>
      </w:r>
      <w:proofErr w:type="spellEnd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„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zh-CN" w:bidi="hi-IN"/>
        </w:rPr>
        <w:t>Кратко описание на подхода и методологията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". Максимален брой точки 60</w:t>
      </w: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.</w:t>
      </w:r>
    </w:p>
    <w:p w14:paraId="686B81D0" w14:textId="77777777" w:rsidR="0012417B" w:rsidRPr="0012417B" w:rsidRDefault="0012417B" w:rsidP="0012417B">
      <w:pPr>
        <w:suppressAutoHyphens/>
        <w:spacing w:after="0" w:line="254" w:lineRule="exac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47A4C163" w14:textId="77777777" w:rsidR="0012417B" w:rsidRDefault="0012417B" w:rsidP="0012417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</w:pPr>
    </w:p>
    <w:p w14:paraId="7F600251" w14:textId="71F12019" w:rsidR="0012417B" w:rsidRPr="0012417B" w:rsidRDefault="0012417B" w:rsidP="0012417B">
      <w:pPr>
        <w:widowControl w:val="0"/>
        <w:tabs>
          <w:tab w:val="left" w:pos="284"/>
        </w:tabs>
        <w:suppressAutoHyphens/>
        <w:spacing w:before="20" w:after="20" w:line="20" w:lineRule="atLeast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К2 – </w:t>
      </w:r>
      <w:proofErr w:type="spellStart"/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под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>показател</w:t>
      </w:r>
      <w:proofErr w:type="spellEnd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 - „Ключови моменти и рискове за добро изпълнение на поръчката” -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Максимален брой точки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bidi="hi-IN"/>
        </w:rPr>
        <w:t xml:space="preserve"> 40.</w:t>
      </w:r>
    </w:p>
    <w:p w14:paraId="2145E400" w14:textId="77777777" w:rsidR="0012417B" w:rsidRPr="0012417B" w:rsidRDefault="0012417B" w:rsidP="0012417B">
      <w:pPr>
        <w:suppressAutoHyphens/>
        <w:spacing w:after="0" w:line="240" w:lineRule="exact"/>
        <w:ind w:left="710"/>
        <w:jc w:val="both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425E2170" w14:textId="77777777" w:rsidR="0012417B" w:rsidRDefault="0012417B" w:rsidP="0012417B">
      <w:pPr>
        <w:suppressAutoHyphens/>
        <w:spacing w:before="96" w:after="0" w:line="240" w:lineRule="auto"/>
        <w:ind w:left="710"/>
        <w:jc w:val="both"/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</w:pPr>
    </w:p>
    <w:p w14:paraId="303596B0" w14:textId="77777777" w:rsidR="0012417B" w:rsidRDefault="0012417B" w:rsidP="0012417B">
      <w:pPr>
        <w:suppressAutoHyphens/>
        <w:spacing w:before="96" w:after="0" w:line="240" w:lineRule="auto"/>
        <w:ind w:left="710"/>
        <w:jc w:val="both"/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</w:pPr>
    </w:p>
    <w:p w14:paraId="12E29EFA" w14:textId="77777777" w:rsidR="0012417B" w:rsidRDefault="0012417B" w:rsidP="0012417B">
      <w:pPr>
        <w:suppressAutoHyphens/>
        <w:spacing w:before="96" w:after="0" w:line="240" w:lineRule="auto"/>
        <w:ind w:left="710"/>
        <w:jc w:val="both"/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</w:pPr>
    </w:p>
    <w:p w14:paraId="1AF9A9C6" w14:textId="77777777" w:rsidR="0012417B" w:rsidRDefault="0012417B" w:rsidP="0012417B">
      <w:pPr>
        <w:suppressAutoHyphens/>
        <w:spacing w:before="96" w:after="0" w:line="240" w:lineRule="auto"/>
        <w:ind w:left="710"/>
        <w:jc w:val="both"/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</w:pPr>
    </w:p>
    <w:p w14:paraId="1148902C" w14:textId="77777777" w:rsidR="0012417B" w:rsidRPr="0012417B" w:rsidRDefault="0012417B" w:rsidP="0012417B">
      <w:pPr>
        <w:suppressAutoHyphens/>
        <w:spacing w:before="96" w:after="0" w:line="240" w:lineRule="auto"/>
        <w:ind w:left="710"/>
        <w:jc w:val="both"/>
        <w:rPr>
          <w:rFonts w:ascii="Verdana" w:eastAsia="Lucida Sans Unicode" w:hAnsi="Verdana" w:cs="Mangal"/>
          <w:kern w:val="1"/>
          <w:sz w:val="20"/>
          <w:szCs w:val="20"/>
          <w:u w:val="double"/>
          <w:lang w:val="bg-BG" w:eastAsia="zh-CN" w:bidi="hi-IN"/>
        </w:rPr>
      </w:pPr>
      <w:r w:rsidRPr="0012417B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lastRenderedPageBreak/>
        <w:t xml:space="preserve">От своя страна, </w:t>
      </w:r>
      <w:r w:rsidRPr="0012417B">
        <w:rPr>
          <w:rFonts w:ascii="Verdana" w:eastAsia="Lucida Sans Unicode" w:hAnsi="Verdana" w:cs="Verdana"/>
          <w:b/>
          <w:kern w:val="1"/>
          <w:sz w:val="20"/>
          <w:szCs w:val="20"/>
          <w:lang w:eastAsia="bg-BG" w:bidi="hi-IN"/>
        </w:rPr>
        <w:t>K1</w:t>
      </w:r>
      <w:r w:rsidRPr="0012417B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 xml:space="preserve"> и К2 се формират както следва:</w:t>
      </w:r>
    </w:p>
    <w:p w14:paraId="27CF95FE" w14:textId="77777777" w:rsidR="0012417B" w:rsidRPr="0012417B" w:rsidRDefault="0012417B" w:rsidP="0012417B">
      <w:pPr>
        <w:widowControl w:val="0"/>
        <w:suppressAutoHyphens/>
        <w:spacing w:after="0" w:line="240" w:lineRule="auto"/>
        <w:rPr>
          <w:rFonts w:ascii="Verdana" w:eastAsia="Lucida Sans Unicode" w:hAnsi="Verdana" w:cs="Mangal"/>
          <w:kern w:val="1"/>
          <w:sz w:val="20"/>
          <w:szCs w:val="20"/>
          <w:u w:val="double"/>
          <w:lang w:val="bg-BG" w:eastAsia="zh-CN" w:bidi="hi-IN"/>
        </w:rPr>
      </w:pPr>
    </w:p>
    <w:tbl>
      <w:tblPr>
        <w:tblW w:w="0" w:type="auto"/>
        <w:tblInd w:w="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5"/>
        <w:gridCol w:w="1080"/>
        <w:gridCol w:w="1035"/>
        <w:gridCol w:w="855"/>
        <w:gridCol w:w="1151"/>
      </w:tblGrid>
      <w:tr w:rsidR="0012417B" w:rsidRPr="0012417B" w14:paraId="5115245D" w14:textId="77777777" w:rsidTr="00700E8B"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1B9F8FA" w14:textId="4608B624" w:rsidR="0012417B" w:rsidRPr="0012417B" w:rsidRDefault="0012417B" w:rsidP="0012417B">
            <w:pPr>
              <w:suppressAutoHyphens/>
              <w:spacing w:before="178" w:after="0" w:line="264" w:lineRule="exact"/>
              <w:ind w:left="1584" w:hanging="1584"/>
              <w:jc w:val="both"/>
              <w:rPr>
                <w:rFonts w:ascii="Verdana" w:eastAsia="Lucida Sans Unicode" w:hAnsi="Verdana" w:cs="Verdana"/>
                <w:b/>
                <w:bCs/>
                <w:i/>
                <w:iCs/>
                <w:kern w:val="1"/>
                <w:sz w:val="20"/>
                <w:szCs w:val="20"/>
                <w:lang w:eastAsia="bg-BG" w:bidi="hi-IN"/>
              </w:rPr>
            </w:pPr>
            <w:r w:rsidRPr="0012417B">
              <w:rPr>
                <w:rFonts w:ascii="Verdana" w:eastAsia="Lucida Sans Unicode" w:hAnsi="Verdana" w:cs="Verdana"/>
                <w:b/>
                <w:bCs/>
                <w:i/>
                <w:iCs/>
                <w:kern w:val="1"/>
                <w:sz w:val="20"/>
                <w:szCs w:val="20"/>
                <w:lang w:val="bg-BG" w:eastAsia="bg-BG" w:bidi="hi-IN"/>
              </w:rPr>
              <w:t>Раздели, формиращи показателя за качество</w:t>
            </w:r>
            <w:r>
              <w:rPr>
                <w:rFonts w:ascii="Verdana" w:eastAsia="Lucida Sans Unicode" w:hAnsi="Verdana" w:cs="Verdana"/>
                <w:b/>
                <w:bCs/>
                <w:i/>
                <w:iCs/>
                <w:kern w:val="1"/>
                <w:sz w:val="20"/>
                <w:szCs w:val="20"/>
                <w:lang w:eastAsia="bg-BG" w:bidi="hi-IN"/>
              </w:rPr>
              <w:t xml:space="preserve"> (K)</w:t>
            </w:r>
          </w:p>
          <w:p w14:paraId="36918881" w14:textId="77777777" w:rsidR="0012417B" w:rsidRPr="0012417B" w:rsidRDefault="0012417B" w:rsidP="0012417B">
            <w:pPr>
              <w:suppressAutoHyphens/>
              <w:spacing w:before="197"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b/>
                <w:bCs/>
                <w:i/>
                <w:iCs/>
                <w:kern w:val="1"/>
                <w:sz w:val="20"/>
                <w:szCs w:val="20"/>
                <w:lang w:val="bg-BG" w:eastAsia="bg-BG" w:bidi="hi-IN"/>
              </w:rPr>
              <w:t>(К1 – К2)</w:t>
            </w:r>
          </w:p>
          <w:p w14:paraId="082E961B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E414A18" w14:textId="77777777" w:rsidR="0012417B" w:rsidRPr="0012417B" w:rsidRDefault="0012417B" w:rsidP="0012417B">
            <w:pPr>
              <w:suppressAutoHyphens/>
              <w:spacing w:after="0" w:line="259" w:lineRule="exact"/>
              <w:jc w:val="both"/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Скала</w:t>
            </w:r>
          </w:p>
          <w:p w14:paraId="29C47514" w14:textId="77777777" w:rsidR="0012417B" w:rsidRPr="0012417B" w:rsidRDefault="0012417B" w:rsidP="0012417B">
            <w:pPr>
              <w:suppressAutoHyphens/>
              <w:spacing w:after="0" w:line="259" w:lineRule="exact"/>
              <w:ind w:firstLine="254"/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на оценка-</w:t>
            </w:r>
          </w:p>
          <w:p w14:paraId="70CC4B91" w14:textId="77777777" w:rsidR="0012417B" w:rsidRPr="0012417B" w:rsidRDefault="0012417B" w:rsidP="0012417B">
            <w:pPr>
              <w:suppressAutoHyphens/>
              <w:spacing w:after="0" w:line="259" w:lineRule="exact"/>
              <w:ind w:left="254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та</w:t>
            </w:r>
          </w:p>
          <w:p w14:paraId="687BE891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495FC48" w14:textId="77777777" w:rsidR="0012417B" w:rsidRPr="0012417B" w:rsidRDefault="0012417B" w:rsidP="0012417B">
            <w:pPr>
              <w:suppressAutoHyphens/>
              <w:spacing w:before="62" w:after="0" w:line="240" w:lineRule="auto"/>
              <w:jc w:val="both"/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Оценка</w:t>
            </w:r>
          </w:p>
          <w:p w14:paraId="38FC4ECB" w14:textId="77777777" w:rsidR="0012417B" w:rsidRPr="0012417B" w:rsidRDefault="0012417B" w:rsidP="0012417B">
            <w:pPr>
              <w:suppressAutoHyphens/>
              <w:spacing w:before="168" w:after="0" w:line="259" w:lineRule="exact"/>
              <w:jc w:val="center"/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 xml:space="preserve">на </w:t>
            </w:r>
            <w:proofErr w:type="spellStart"/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участни</w:t>
            </w:r>
            <w:proofErr w:type="spellEnd"/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 xml:space="preserve">- </w:t>
            </w:r>
            <w:proofErr w:type="spellStart"/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ка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267864E" w14:textId="15C76463" w:rsidR="0012417B" w:rsidRPr="0012417B" w:rsidRDefault="0012417B" w:rsidP="0012417B">
            <w:pPr>
              <w:suppressAutoHyphens/>
              <w:spacing w:before="10" w:after="0" w:line="240" w:lineRule="auto"/>
              <w:jc w:val="both"/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</w:pPr>
            <w:proofErr w:type="spellStart"/>
            <w:r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Коефи</w:t>
            </w:r>
            <w:proofErr w:type="spellEnd"/>
          </w:p>
          <w:p w14:paraId="18983FE5" w14:textId="77777777" w:rsidR="0012417B" w:rsidRPr="0012417B" w:rsidRDefault="0012417B" w:rsidP="0012417B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proofErr w:type="spellStart"/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циент</w:t>
            </w:r>
            <w:proofErr w:type="spellEnd"/>
          </w:p>
          <w:p w14:paraId="23D7FAB3" w14:textId="77777777" w:rsidR="0012417B" w:rsidRPr="0012417B" w:rsidRDefault="0012417B" w:rsidP="0012417B">
            <w:pPr>
              <w:suppressAutoHyphens/>
              <w:spacing w:after="0" w:line="259" w:lineRule="exact"/>
              <w:ind w:left="408" w:hanging="408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D4C15C" w14:textId="78F21A63" w:rsidR="0012417B" w:rsidRPr="0012417B" w:rsidRDefault="0012417B" w:rsidP="0012417B">
            <w:pPr>
              <w:suppressAutoHyphens/>
              <w:spacing w:before="10" w:after="0" w:line="240" w:lineRule="auto"/>
              <w:jc w:val="both"/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Точки</w:t>
            </w:r>
            <w:r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 xml:space="preserve"> </w:t>
            </w:r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на</w:t>
            </w:r>
          </w:p>
          <w:p w14:paraId="720AED71" w14:textId="50CCE423" w:rsidR="0012417B" w:rsidRPr="0012417B" w:rsidRDefault="0012417B" w:rsidP="0012417B">
            <w:pPr>
              <w:suppressAutoHyphens/>
              <w:spacing w:after="0" w:line="259" w:lineRule="exact"/>
              <w:ind w:left="408" w:hanging="408"/>
              <w:rPr>
                <w:rFonts w:ascii="Verdana" w:eastAsia="Lucida Sans Unicode" w:hAnsi="Verdana" w:cs="Mangal"/>
                <w:b/>
                <w:kern w:val="1"/>
                <w:sz w:val="20"/>
                <w:szCs w:val="20"/>
                <w:lang w:val="bg-BG" w:eastAsia="zh-CN" w:bidi="hi-IN"/>
              </w:rPr>
            </w:pPr>
            <w:proofErr w:type="spellStart"/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Участни</w:t>
            </w:r>
            <w:proofErr w:type="spellEnd"/>
            <w:r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 xml:space="preserve"> </w:t>
            </w:r>
            <w:proofErr w:type="spellStart"/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ка</w:t>
            </w:r>
            <w:proofErr w:type="spellEnd"/>
          </w:p>
          <w:p w14:paraId="2843EE2E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b/>
                <w:kern w:val="1"/>
                <w:sz w:val="20"/>
                <w:szCs w:val="20"/>
                <w:lang w:val="bg-BG" w:eastAsia="zh-CN" w:bidi="hi-IN"/>
              </w:rPr>
            </w:pPr>
          </w:p>
        </w:tc>
      </w:tr>
      <w:tr w:rsidR="0012417B" w:rsidRPr="0012417B" w14:paraId="122B18A9" w14:textId="77777777" w:rsidTr="00700E8B"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320F2D4" w14:textId="4A694908" w:rsidR="0012417B" w:rsidRPr="0012417B" w:rsidRDefault="0012417B" w:rsidP="0012417B">
            <w:pPr>
              <w:suppressAutoHyphens/>
              <w:spacing w:after="0" w:line="254" w:lineRule="exact"/>
              <w:jc w:val="both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val="bg-BG" w:eastAsia="bg-BG" w:bidi="hi-IN"/>
              </w:rPr>
              <w:t xml:space="preserve">К1 – </w:t>
            </w:r>
            <w:proofErr w:type="spellStart"/>
            <w:r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val="bg-BG" w:eastAsia="bg-BG" w:bidi="hi-IN"/>
              </w:rPr>
              <w:t>под</w:t>
            </w:r>
            <w:r w:rsidRPr="0012417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val="bg-BG" w:eastAsia="bg-BG" w:bidi="hi-IN"/>
              </w:rPr>
              <w:t>показател</w:t>
            </w:r>
            <w:proofErr w:type="spellEnd"/>
            <w:r w:rsidRPr="0012417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val="bg-BG" w:eastAsia="bg-BG" w:bidi="hi-IN"/>
              </w:rPr>
              <w:t xml:space="preserve"> „К</w:t>
            </w:r>
            <w:r w:rsidRPr="0012417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val="bg-BG" w:eastAsia="zh-CN" w:bidi="hi-IN"/>
              </w:rPr>
              <w:t xml:space="preserve">ратко описание на подхода и методологията </w:t>
            </w: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zh-CN" w:bidi="hi-IN"/>
              </w:rPr>
              <w:t xml:space="preserve"> </w:t>
            </w:r>
            <w:r w:rsidRPr="0012417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val="bg-BG" w:eastAsia="bg-BG" w:bidi="hi-IN"/>
              </w:rPr>
              <w:t>". Максимален брой точки 60</w:t>
            </w:r>
          </w:p>
          <w:p w14:paraId="12109033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078BE8F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 xml:space="preserve">1 - </w:t>
            </w:r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eastAsia="bg-BG" w:bidi="hi-IN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333391B" w14:textId="77777777" w:rsidR="0012417B" w:rsidRPr="0012417B" w:rsidRDefault="0012417B" w:rsidP="0012417B">
            <w:pPr>
              <w:suppressAutoHyphens/>
              <w:snapToGrid w:val="0"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F22B3BF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20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5698A8" w14:textId="77777777" w:rsidR="0012417B" w:rsidRPr="0012417B" w:rsidRDefault="0012417B" w:rsidP="0012417B">
            <w:pPr>
              <w:suppressAutoHyphens/>
              <w:snapToGrid w:val="0"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</w:tr>
      <w:tr w:rsidR="0012417B" w:rsidRPr="0012417B" w14:paraId="3FA58D40" w14:textId="77777777" w:rsidTr="00700E8B"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A5DC4A4" w14:textId="77777777" w:rsidR="0012417B" w:rsidRPr="0012417B" w:rsidRDefault="0012417B" w:rsidP="0012417B">
            <w:pPr>
              <w:suppressAutoHyphens/>
              <w:spacing w:before="158" w:after="0" w:line="259" w:lineRule="exact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Участникът е предложил детайлно, подробно и задълбочено описание на подхода си към процеса на изпълнение на поръчката в съответствие с изискванията на възложителя, съгласно Техническата спецификация и особеностите на изпълнението, като е отчел и подробно описал всички фактори, които са важни и следва да бъдат съблюдавани, отразени и приложени при изпълнението на дейностите, включени в обхвата на процедурата. Допълнително развити и подробно са описани методите за изпълнение на отделните етапи, които разгледани съвкупно образуват интегрираност и последователност на изпълнението и същите ще допринесат за качествено и срочно изпълнение на поръчката. Подходът и методологията за изпълнение на услугата са напълно адекватни, дейностите са ясно описани, постигната е интегрираност и последователност между тях, и са в пълно съответствие с изискванията на възложителя.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A4D98BA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DE8E68C" w14:textId="77777777" w:rsidR="0012417B" w:rsidRPr="0012417B" w:rsidRDefault="0012417B" w:rsidP="0012417B">
            <w:pPr>
              <w:suppressAutoHyphens/>
              <w:snapToGrid w:val="0"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AE14D91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20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069A32C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  <w:t>60</w:t>
            </w:r>
          </w:p>
        </w:tc>
      </w:tr>
      <w:tr w:rsidR="0012417B" w:rsidRPr="0012417B" w14:paraId="67F6BC03" w14:textId="77777777" w:rsidTr="00700E8B"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D28A7EA" w14:textId="77777777" w:rsidR="0012417B" w:rsidRPr="0012417B" w:rsidRDefault="0012417B" w:rsidP="0012417B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 xml:space="preserve">Участникът е предложил описание на подхода си към процеса на изпълнение на услугата в съответствие с изискванията на възложителя съгласно техническото задание и особеностите на изпълнението, но са налице някои неясноти и/или дефицити, което гарантира в задоволителна степен постигане на заложените </w:t>
            </w: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lastRenderedPageBreak/>
              <w:t>в проекта цели и резултати. Описани са етапите, подетапите и методите за изпълнение, но в цялост изложеното описание не е достатъчно задълбочено, детайлно и изчерпателно. Налице са някои пропуски, въз основа на което е постигната задоволителна степен на адекватност на подхода и методологията; Описанието на дейностите е добро, постигната е задоволителна степен на интегрираност и последователност на дейностите, включени в обхвата на услугата.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BBEA9C8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lastRenderedPageBreak/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C84151A" w14:textId="77777777" w:rsidR="0012417B" w:rsidRPr="0012417B" w:rsidRDefault="0012417B" w:rsidP="0012417B">
            <w:pPr>
              <w:suppressAutoHyphens/>
              <w:snapToGrid w:val="0"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22A702C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20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1E06C7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40</w:t>
            </w:r>
          </w:p>
        </w:tc>
      </w:tr>
      <w:tr w:rsidR="0012417B" w:rsidRPr="0012417B" w14:paraId="50BF7E0C" w14:textId="77777777" w:rsidTr="00700E8B"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F97A703" w14:textId="77777777" w:rsidR="0012417B" w:rsidRPr="0012417B" w:rsidRDefault="0012417B" w:rsidP="0012417B">
            <w:pPr>
              <w:suppressAutoHyphens/>
              <w:spacing w:after="0" w:line="240" w:lineRule="auto"/>
              <w:jc w:val="both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Участникът е предложил непълно, незадълбочено и неиздържано описание на подхода си към процеса на изпълнение в съответствие с изискванията на възложителя, съгласно Техническата спецификация. Не е демонстрирал разбиране как ще се постигнат търсените резултати, което не гарантира в пълна степен постигане на заложените в проекта цели. Постигната е само известна степен на адекватност, яснота на описанието, интегрираност и последователност между дейностите, включени в обхвата на услугата.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7EF1BD1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B0B1956" w14:textId="77777777" w:rsidR="0012417B" w:rsidRPr="0012417B" w:rsidRDefault="0012417B" w:rsidP="0012417B">
            <w:pPr>
              <w:suppressAutoHyphens/>
              <w:snapToGrid w:val="0"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3D7CE2F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20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0DC806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20</w:t>
            </w:r>
          </w:p>
        </w:tc>
      </w:tr>
      <w:tr w:rsidR="0012417B" w:rsidRPr="0012417B" w14:paraId="7375EE24" w14:textId="77777777" w:rsidTr="00700E8B"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D537377" w14:textId="22B52868" w:rsidR="0012417B" w:rsidRPr="0012417B" w:rsidRDefault="0012417B" w:rsidP="0012417B">
            <w:pPr>
              <w:widowControl w:val="0"/>
              <w:tabs>
                <w:tab w:val="left" w:pos="284"/>
              </w:tabs>
              <w:suppressAutoHyphens/>
              <w:spacing w:before="20" w:after="20" w:line="20" w:lineRule="atLeast"/>
              <w:jc w:val="both"/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val="bg-BG" w:bidi="hi-IN"/>
              </w:rPr>
              <w:t xml:space="preserve">К2 – </w:t>
            </w:r>
            <w:proofErr w:type="spellStart"/>
            <w:r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val="bg-BG" w:bidi="hi-IN"/>
              </w:rPr>
              <w:t>подп</w:t>
            </w:r>
            <w:r w:rsidRPr="0012417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val="bg-BG" w:bidi="hi-IN"/>
              </w:rPr>
              <w:t>оказател</w:t>
            </w:r>
            <w:proofErr w:type="spellEnd"/>
            <w:r w:rsidRPr="0012417B">
              <w:rPr>
                <w:rFonts w:ascii="Verdana" w:eastAsia="Lucida Sans Unicode" w:hAnsi="Verdana" w:cs="Verdana"/>
                <w:b/>
                <w:bCs/>
                <w:kern w:val="1"/>
                <w:sz w:val="20"/>
                <w:szCs w:val="20"/>
                <w:lang w:val="bg-BG" w:bidi="hi-IN"/>
              </w:rPr>
              <w:t xml:space="preserve"> – „Ключови моменти и рискове за добро изпълнение на поръчката“ - максимум 40 точки.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58185A7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b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1 - 4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4F14750" w14:textId="77777777" w:rsidR="0012417B" w:rsidRPr="0012417B" w:rsidRDefault="0012417B" w:rsidP="0012417B">
            <w:pPr>
              <w:suppressAutoHyphens/>
              <w:snapToGrid w:val="0"/>
              <w:spacing w:after="0" w:line="240" w:lineRule="auto"/>
              <w:rPr>
                <w:rFonts w:ascii="Verdana" w:eastAsia="Lucida Sans Unicode" w:hAnsi="Verdana" w:cs="Mangal"/>
                <w:b/>
                <w:kern w:val="1"/>
                <w:sz w:val="20"/>
                <w:szCs w:val="20"/>
                <w:lang w:val="bg-BG"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7499444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b/>
                <w:kern w:val="1"/>
                <w:sz w:val="20"/>
                <w:szCs w:val="20"/>
                <w:lang w:val="bg-BG" w:eastAsia="bg-BG" w:bidi="hi-IN"/>
              </w:rPr>
              <w:t>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C9C420" w14:textId="77777777" w:rsidR="0012417B" w:rsidRPr="0012417B" w:rsidRDefault="0012417B" w:rsidP="0012417B">
            <w:pPr>
              <w:suppressAutoHyphens/>
              <w:snapToGrid w:val="0"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</w:tr>
      <w:tr w:rsidR="0012417B" w:rsidRPr="0012417B" w14:paraId="4596DF83" w14:textId="77777777" w:rsidTr="00700E8B"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E3DD836" w14:textId="77777777" w:rsidR="0012417B" w:rsidRPr="0012417B" w:rsidRDefault="0012417B" w:rsidP="0012417B">
            <w:pPr>
              <w:suppressAutoHyphens/>
              <w:spacing w:after="0" w:line="259" w:lineRule="exact"/>
              <w:ind w:left="14" w:hanging="14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Участникът е посочил ключовите моменти за изпълнение на отделните етапи от поръчката и тяхното влияние върху цялостното й изпълнение.</w:t>
            </w:r>
          </w:p>
          <w:p w14:paraId="759C5047" w14:textId="77777777" w:rsidR="0012417B" w:rsidRPr="0012417B" w:rsidRDefault="0012417B" w:rsidP="0012417B">
            <w:pPr>
              <w:suppressAutoHyphens/>
              <w:spacing w:after="0" w:line="259" w:lineRule="exact"/>
              <w:ind w:left="14" w:hanging="14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Участникът е предвидил достатъчно и реално изпълними мерки за премахване/минимизиране на всеки един от посочените от възложителя рискове.</w:t>
            </w:r>
          </w:p>
          <w:p w14:paraId="08C0AAA2" w14:textId="77777777" w:rsidR="0012417B" w:rsidRPr="0012417B" w:rsidRDefault="0012417B" w:rsidP="0012417B">
            <w:pPr>
              <w:suppressAutoHyphens/>
              <w:spacing w:after="0" w:line="264" w:lineRule="exact"/>
              <w:ind w:firstLine="5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Предвидени са мерки и срещу други, възможни според изпълнителя рискове.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25EBF9F" w14:textId="77777777" w:rsidR="0012417B" w:rsidRPr="0012417B" w:rsidRDefault="0012417B" w:rsidP="0012417B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7EA2E7F" w14:textId="77777777" w:rsidR="0012417B" w:rsidRPr="0012417B" w:rsidRDefault="0012417B" w:rsidP="0012417B">
            <w:pPr>
              <w:suppressAutoHyphens/>
              <w:snapToGrid w:val="0"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E06A205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F825229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40</w:t>
            </w:r>
          </w:p>
        </w:tc>
      </w:tr>
      <w:tr w:rsidR="0012417B" w:rsidRPr="0012417B" w14:paraId="31FA321F" w14:textId="77777777" w:rsidTr="00700E8B">
        <w:tc>
          <w:tcPr>
            <w:tcW w:w="52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8097EBA" w14:textId="77777777" w:rsidR="0012417B" w:rsidRPr="0012417B" w:rsidRDefault="0012417B" w:rsidP="0012417B">
            <w:pPr>
              <w:suppressAutoHyphens/>
              <w:spacing w:after="0" w:line="264" w:lineRule="exact"/>
              <w:ind w:left="14" w:hanging="14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Участникът е посочил ключовите моменти за изпълнение на отделните етапи от поръчката и тяхното влияние върху цялостното й изпълнение.</w:t>
            </w:r>
          </w:p>
          <w:p w14:paraId="2F4F931E" w14:textId="77777777" w:rsidR="0012417B" w:rsidRPr="0012417B" w:rsidRDefault="0012417B" w:rsidP="0012417B">
            <w:pPr>
              <w:suppressAutoHyphens/>
              <w:spacing w:after="0" w:line="264" w:lineRule="exact"/>
              <w:ind w:left="14" w:hanging="14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 xml:space="preserve">Участникът е предвидил достатъчно и реално изпълними мерки за премахване/минимизиране </w:t>
            </w: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lastRenderedPageBreak/>
              <w:t>на всеки един от посочените от възложителя рискове.</w:t>
            </w:r>
          </w:p>
          <w:p w14:paraId="1ACBAECE" w14:textId="77777777" w:rsidR="0012417B" w:rsidRPr="0012417B" w:rsidRDefault="0012417B" w:rsidP="0012417B">
            <w:pPr>
              <w:suppressAutoHyphens/>
              <w:spacing w:after="0" w:line="264" w:lineRule="exact"/>
              <w:ind w:firstLine="5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Не са предвидени мерки срещу други, възможни според изпълнителя рискове.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2FDE490" w14:textId="77777777" w:rsidR="0012417B" w:rsidRPr="0012417B" w:rsidRDefault="0012417B" w:rsidP="0012417B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lastRenderedPageBreak/>
              <w:t>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13625FB" w14:textId="77777777" w:rsidR="0012417B" w:rsidRPr="0012417B" w:rsidRDefault="0012417B" w:rsidP="0012417B">
            <w:pPr>
              <w:suppressAutoHyphens/>
              <w:snapToGrid w:val="0"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55BD478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F2C19B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30</w:t>
            </w:r>
          </w:p>
        </w:tc>
      </w:tr>
      <w:tr w:rsidR="0012417B" w:rsidRPr="0012417B" w14:paraId="62C968B1" w14:textId="77777777" w:rsidTr="00700E8B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1AECB" w14:textId="77777777" w:rsidR="0012417B" w:rsidRPr="0012417B" w:rsidRDefault="0012417B" w:rsidP="0012417B">
            <w:pPr>
              <w:suppressAutoHyphens/>
              <w:spacing w:after="0" w:line="259" w:lineRule="exact"/>
              <w:ind w:left="14" w:hanging="14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Участникът не е посочил ключовите моменти за изпълнение на всеки от отделните  етапи от изпълнението на поръчката и тяхното влияние върху цялостното й изпълнение, или за посочените етапи не е видно влиянието им върху цялостното изпълнение на поръчката.</w:t>
            </w:r>
          </w:p>
          <w:p w14:paraId="4C7B924A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Участникът е предвидил достатъчно и реално изпълними мерки за премахване/минимизиране на всеки един от посочените от възложителя рискове.</w:t>
            </w:r>
          </w:p>
          <w:p w14:paraId="3BA7F3FB" w14:textId="77777777" w:rsidR="0012417B" w:rsidRPr="0012417B" w:rsidRDefault="0012417B" w:rsidP="0012417B">
            <w:pPr>
              <w:suppressAutoHyphens/>
              <w:spacing w:after="0" w:line="259" w:lineRule="exact"/>
              <w:ind w:left="14" w:hanging="14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Предвидени са мерки и срещу други, възможни според изпълнителя рискове.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47A885" w14:textId="77777777" w:rsidR="0012417B" w:rsidRPr="0012417B" w:rsidRDefault="0012417B" w:rsidP="0012417B">
            <w:pPr>
              <w:suppressAutoHyphens/>
              <w:spacing w:after="0" w:line="240" w:lineRule="auto"/>
              <w:jc w:val="center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8C2F9" w14:textId="77777777" w:rsidR="0012417B" w:rsidRPr="0012417B" w:rsidRDefault="0012417B" w:rsidP="0012417B">
            <w:pPr>
              <w:suppressAutoHyphens/>
              <w:snapToGrid w:val="0"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C76F6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CB787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20</w:t>
            </w:r>
          </w:p>
        </w:tc>
      </w:tr>
      <w:tr w:rsidR="0012417B" w:rsidRPr="0012417B" w14:paraId="2C43E356" w14:textId="77777777" w:rsidTr="00700E8B"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3C24669" w14:textId="77777777" w:rsidR="0012417B" w:rsidRPr="0012417B" w:rsidRDefault="0012417B" w:rsidP="0012417B">
            <w:pPr>
              <w:suppressAutoHyphens/>
              <w:spacing w:after="0" w:line="259" w:lineRule="exact"/>
              <w:ind w:left="14" w:hanging="14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Участникът не е посочил ключовите моменти за изпълнение на всеки от отделните етапи от поръчката и тяхното влияние върху цялостното й изпълнение.</w:t>
            </w:r>
          </w:p>
          <w:p w14:paraId="2F140A81" w14:textId="77777777" w:rsidR="0012417B" w:rsidRPr="0012417B" w:rsidRDefault="0012417B" w:rsidP="0012417B">
            <w:pPr>
              <w:suppressAutoHyphens/>
              <w:spacing w:after="0" w:line="259" w:lineRule="exact"/>
              <w:ind w:left="14" w:hanging="14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Участникът не е предвидил достатъчно и реално изпълними мерки за премахване/минимизиране на всеки един от посочените от възложителя рискове.</w:t>
            </w:r>
          </w:p>
          <w:p w14:paraId="2EE3C0F8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Не са предвидени мерки срещу други, възможни според изпълнителя рискове.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26EB638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val="bg-BG" w:eastAsia="bg-BG" w:bidi="hi-IN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C51712A" w14:textId="77777777" w:rsidR="0012417B" w:rsidRPr="0012417B" w:rsidRDefault="0012417B" w:rsidP="0012417B">
            <w:pPr>
              <w:suppressAutoHyphens/>
              <w:snapToGrid w:val="0"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B6F249B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eastAsia="zh-CN" w:bidi="hi-IN"/>
              </w:rPr>
            </w:pPr>
            <w:r w:rsidRPr="0012417B">
              <w:rPr>
                <w:rFonts w:ascii="Verdana" w:eastAsia="Lucida Sans Unicode" w:hAnsi="Verdana" w:cs="Verdana"/>
                <w:kern w:val="1"/>
                <w:sz w:val="20"/>
                <w:szCs w:val="20"/>
                <w:lang w:eastAsia="bg-BG" w:bidi="hi-IN"/>
              </w:rPr>
              <w:t>10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DC5208" w14:textId="77777777" w:rsidR="0012417B" w:rsidRPr="0012417B" w:rsidRDefault="0012417B" w:rsidP="0012417B">
            <w:pPr>
              <w:suppressAutoHyphens/>
              <w:spacing w:after="0" w:line="240" w:lineRule="auto"/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</w:pPr>
            <w:r w:rsidRPr="0012417B">
              <w:rPr>
                <w:rFonts w:ascii="Verdana" w:eastAsia="Lucida Sans Unicode" w:hAnsi="Verdana" w:cs="Mangal"/>
                <w:kern w:val="1"/>
                <w:sz w:val="20"/>
                <w:szCs w:val="20"/>
                <w:lang w:val="bg-BG" w:eastAsia="zh-CN" w:bidi="hi-IN"/>
              </w:rPr>
              <w:t>10</w:t>
            </w:r>
          </w:p>
        </w:tc>
      </w:tr>
    </w:tbl>
    <w:p w14:paraId="43751968" w14:textId="77777777" w:rsidR="0012417B" w:rsidRPr="0012417B" w:rsidRDefault="0012417B" w:rsidP="0012417B">
      <w:pPr>
        <w:widowControl w:val="0"/>
        <w:suppressAutoHyphens/>
        <w:spacing w:after="0" w:line="240" w:lineRule="auto"/>
        <w:rPr>
          <w:rFonts w:ascii="Verdana" w:eastAsia="Lucida Sans Unicode" w:hAnsi="Verdana" w:cs="Mangal"/>
          <w:kern w:val="1"/>
          <w:sz w:val="20"/>
          <w:szCs w:val="20"/>
          <w:u w:val="double"/>
          <w:lang w:val="bg-BG" w:eastAsia="zh-CN" w:bidi="hi-IN"/>
        </w:rPr>
      </w:pPr>
    </w:p>
    <w:p w14:paraId="7E5C8956" w14:textId="560AEE61" w:rsidR="0012417B" w:rsidRPr="0012417B" w:rsidRDefault="0012417B" w:rsidP="0012417B">
      <w:pPr>
        <w:suppressAutoHyphens/>
        <w:spacing w:before="187" w:after="0" w:line="278" w:lineRule="exact"/>
        <w:ind w:firstLine="706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IV. Показателят Ц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ена (Ц)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с тежест 40% се изчислява по формулата:</w:t>
      </w:r>
    </w:p>
    <w:p w14:paraId="3F0DB149" w14:textId="77777777" w:rsidR="0012417B" w:rsidRPr="0012417B" w:rsidRDefault="0012417B" w:rsidP="0012417B">
      <w:pPr>
        <w:suppressAutoHyphens/>
        <w:spacing w:before="173" w:after="0" w:line="240" w:lineRule="auto"/>
        <w:ind w:left="739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  <w:proofErr w:type="spellStart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Цп</w:t>
      </w:r>
      <w:proofErr w:type="spellEnd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=      </w:t>
      </w:r>
      <w:r w:rsidRPr="0012417B">
        <w:rPr>
          <w:rFonts w:ascii="Verdana" w:eastAsia="Lucida Sans Unicode" w:hAnsi="Verdana" w:cs="Verdana"/>
          <w:bCs/>
          <w:kern w:val="1"/>
          <w:sz w:val="20"/>
          <w:szCs w:val="20"/>
          <w:lang w:eastAsia="bg-BG" w:bidi="hi-IN"/>
        </w:rPr>
        <w:t>C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min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/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C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n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 xml:space="preserve">X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100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, където:</w:t>
      </w:r>
    </w:p>
    <w:p w14:paraId="0B571FE7" w14:textId="77777777" w:rsidR="0012417B" w:rsidRPr="0012417B" w:rsidRDefault="0012417B" w:rsidP="0012417B">
      <w:pPr>
        <w:suppressAutoHyphens/>
        <w:spacing w:before="197" w:after="0" w:line="240" w:lineRule="auto"/>
        <w:ind w:left="739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</w:pP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Ц п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е показателят за цена на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n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-тия участник;</w:t>
      </w:r>
    </w:p>
    <w:p w14:paraId="286FA75A" w14:textId="38FF4EEB" w:rsidR="0012417B" w:rsidRPr="0012417B" w:rsidRDefault="0012417B" w:rsidP="0012417B">
      <w:pPr>
        <w:suppressAutoHyphens/>
        <w:spacing w:before="130" w:after="0" w:line="283" w:lineRule="exact"/>
        <w:ind w:firstLine="710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</w:pP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C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min</w:t>
      </w:r>
      <w:r w:rsidRPr="0012417B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е най-ниската предложена цена от участник в процедура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та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, без начислено ДДС;</w:t>
      </w:r>
    </w:p>
    <w:p w14:paraId="5E73F7A4" w14:textId="21C953B6" w:rsidR="0012417B" w:rsidRPr="0012417B" w:rsidRDefault="0012417B" w:rsidP="0012417B">
      <w:pPr>
        <w:suppressAutoHyphens/>
        <w:spacing w:before="173" w:after="0" w:line="240" w:lineRule="auto"/>
        <w:ind w:left="739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C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proofErr w:type="gramStart"/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bg-BG" w:bidi="hi-IN"/>
        </w:rPr>
        <w:t>n</w:t>
      </w:r>
      <w:r w:rsidRPr="0012417B">
        <w:rPr>
          <w:rFonts w:ascii="Verdana" w:eastAsia="Lucida Sans Unicode" w:hAnsi="Verdana" w:cs="Verdana"/>
          <w:bCs/>
          <w:kern w:val="1"/>
          <w:sz w:val="20"/>
          <w:szCs w:val="20"/>
          <w:lang w:val="bg-BG" w:eastAsia="bg-BG" w:bidi="hi-IN"/>
        </w:rPr>
        <w:t xml:space="preserve"> 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е</w:t>
      </w:r>
      <w:proofErr w:type="gramEnd"/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предложената цена от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>n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-тия участник в 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роцедура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та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, без начислено</w:t>
      </w:r>
    </w:p>
    <w:p w14:paraId="21F04784" w14:textId="77777777" w:rsidR="0012417B" w:rsidRPr="0012417B" w:rsidRDefault="0012417B" w:rsidP="0012417B">
      <w:pPr>
        <w:suppressAutoHyphens/>
        <w:spacing w:before="77" w:after="0" w:line="240" w:lineRule="auto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ДДС;</w:t>
      </w:r>
    </w:p>
    <w:p w14:paraId="19F44CE0" w14:textId="77777777" w:rsidR="0012417B" w:rsidRPr="0012417B" w:rsidRDefault="0012417B" w:rsidP="0012417B">
      <w:pPr>
        <w:suppressAutoHyphens/>
        <w:spacing w:after="0" w:line="240" w:lineRule="exact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</w:p>
    <w:p w14:paraId="4C35F083" w14:textId="77777777" w:rsidR="0012417B" w:rsidRPr="0012417B" w:rsidRDefault="0012417B" w:rsidP="0012417B">
      <w:pPr>
        <w:suppressAutoHyphens/>
        <w:spacing w:after="0" w:line="240" w:lineRule="exact"/>
        <w:rPr>
          <w:rFonts w:ascii="Verdana" w:eastAsia="Lucida Sans Unicode" w:hAnsi="Verdana" w:cs="Mangal"/>
          <w:kern w:val="1"/>
          <w:sz w:val="20"/>
          <w:szCs w:val="20"/>
          <w:lang w:val="bg-BG" w:eastAsia="zh-CN" w:bidi="hi-IN"/>
        </w:rPr>
      </w:pP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За този показател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(Ц)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се присъждат максимум </w:t>
      </w: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100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точки на участник предложил най-ниска цена.</w:t>
      </w:r>
    </w:p>
    <w:p w14:paraId="27E06A3D" w14:textId="77777777" w:rsidR="0012417B" w:rsidRPr="0012417B" w:rsidRDefault="0012417B" w:rsidP="0012417B">
      <w:pPr>
        <w:suppressAutoHyphens/>
        <w:spacing w:before="86" w:after="0" w:line="240" w:lineRule="exact"/>
        <w:ind w:firstLine="720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</w:p>
    <w:p w14:paraId="02F8C2BF" w14:textId="23E696D5" w:rsidR="005F4E35" w:rsidRPr="0012417B" w:rsidRDefault="0012417B" w:rsidP="0012417B">
      <w:pPr>
        <w:suppressAutoHyphens/>
        <w:spacing w:before="86" w:after="0" w:line="240" w:lineRule="exact"/>
        <w:ind w:firstLine="720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12417B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Забележка: </w:t>
      </w:r>
      <w:r w:rsidRPr="0012417B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За настоящата Методика, използваните в нея думи следва да се разбират съгласно значението им в „Речник на българския език - БАН"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. </w:t>
      </w:r>
      <w:r w:rsidR="005F4E35" w:rsidRPr="0012417B">
        <w:rPr>
          <w:rFonts w:ascii="Verdana" w:eastAsia="Times New Roman" w:hAnsi="Verdana" w:cs="Times New Roman"/>
          <w:sz w:val="20"/>
          <w:szCs w:val="20"/>
          <w:lang w:val="bg-BG"/>
        </w:rPr>
        <w:t>Ако получените оценки (комплексна, техническа, финансова или точкова оценка) не са цели числа, а десетични дро</w:t>
      </w:r>
      <w:bookmarkStart w:id="0" w:name="_GoBack"/>
      <w:bookmarkEnd w:id="0"/>
      <w:r w:rsidR="005F4E35" w:rsidRPr="0012417B">
        <w:rPr>
          <w:rFonts w:ascii="Verdana" w:eastAsia="Times New Roman" w:hAnsi="Verdana" w:cs="Times New Roman"/>
          <w:sz w:val="20"/>
          <w:szCs w:val="20"/>
          <w:lang w:val="bg-BG"/>
        </w:rPr>
        <w:t>би, те следва да се закръглят до втория знак след десетичната запетая.</w:t>
      </w:r>
    </w:p>
    <w:sectPr w:rsidR="005F4E35" w:rsidRPr="0012417B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F0F4C" w14:textId="77777777" w:rsidR="009F6779" w:rsidRDefault="009F6779" w:rsidP="00B15A1F">
      <w:pPr>
        <w:spacing w:after="0" w:line="240" w:lineRule="auto"/>
      </w:pPr>
      <w:r>
        <w:separator/>
      </w:r>
    </w:p>
  </w:endnote>
  <w:endnote w:type="continuationSeparator" w:id="0">
    <w:p w14:paraId="05840BFE" w14:textId="77777777" w:rsidR="009F6779" w:rsidRDefault="009F6779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395CA0">
              <w:rPr>
                <w:b/>
                <w:bCs/>
                <w:noProof/>
                <w:sz w:val="16"/>
                <w:szCs w:val="16"/>
              </w:rPr>
              <w:t>6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395CA0">
              <w:rPr>
                <w:b/>
                <w:bCs/>
                <w:noProof/>
                <w:sz w:val="16"/>
                <w:szCs w:val="16"/>
              </w:rPr>
              <w:t>6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26818" w14:textId="77777777" w:rsidR="009F6779" w:rsidRDefault="009F6779" w:rsidP="00B15A1F">
      <w:pPr>
        <w:spacing w:after="0" w:line="240" w:lineRule="auto"/>
      </w:pPr>
      <w:r>
        <w:separator/>
      </w:r>
    </w:p>
  </w:footnote>
  <w:footnote w:type="continuationSeparator" w:id="0">
    <w:p w14:paraId="6CC174FC" w14:textId="77777777" w:rsidR="009F6779" w:rsidRDefault="009F6779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0"/>
        </w:tabs>
        <w:ind w:left="1044" w:hanging="360"/>
      </w:pPr>
      <w:rPr>
        <w:rFonts w:ascii="Verdana" w:hAnsi="Verdana" w:cs="Tahom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04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abstractNum w:abstractNumId="2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9700B"/>
    <w:multiLevelType w:val="hybridMultilevel"/>
    <w:tmpl w:val="DDEC51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2700" w:hanging="432"/>
      </w:pPr>
    </w:lvl>
    <w:lvl w:ilvl="1">
      <w:start w:val="1"/>
      <w:numFmt w:val="decimal"/>
      <w:pStyle w:val="2"/>
      <w:lvlText w:val="%1.%2"/>
      <w:lvlJc w:val="left"/>
      <w:pPr>
        <w:ind w:left="2844" w:hanging="576"/>
      </w:pPr>
    </w:lvl>
    <w:lvl w:ilvl="2">
      <w:start w:val="1"/>
      <w:numFmt w:val="decimal"/>
      <w:pStyle w:val="3"/>
      <w:lvlText w:val="%1.%2.%3"/>
      <w:lvlJc w:val="left"/>
      <w:pPr>
        <w:ind w:left="4068" w:hanging="720"/>
      </w:pPr>
    </w:lvl>
    <w:lvl w:ilvl="3">
      <w:start w:val="1"/>
      <w:numFmt w:val="decimal"/>
      <w:pStyle w:val="4"/>
      <w:lvlText w:val="%1.%2.%3.%4"/>
      <w:lvlJc w:val="left"/>
      <w:pPr>
        <w:ind w:left="3132" w:hanging="864"/>
      </w:pPr>
    </w:lvl>
    <w:lvl w:ilvl="4">
      <w:start w:val="1"/>
      <w:numFmt w:val="decimal"/>
      <w:pStyle w:val="5"/>
      <w:lvlText w:val="%1.%2.%3.%4.%5"/>
      <w:lvlJc w:val="left"/>
      <w:pPr>
        <w:ind w:left="3276" w:hanging="1008"/>
      </w:pPr>
    </w:lvl>
    <w:lvl w:ilvl="5">
      <w:start w:val="1"/>
      <w:numFmt w:val="decimal"/>
      <w:pStyle w:val="6"/>
      <w:lvlText w:val="%1.%2.%3.%4.%5.%6"/>
      <w:lvlJc w:val="left"/>
      <w:pPr>
        <w:ind w:left="3420" w:hanging="1152"/>
      </w:pPr>
    </w:lvl>
    <w:lvl w:ilvl="6">
      <w:start w:val="1"/>
      <w:numFmt w:val="decimal"/>
      <w:pStyle w:val="7"/>
      <w:lvlText w:val="%1.%2.%3.%4.%5.%6.%7"/>
      <w:lvlJc w:val="left"/>
      <w:pPr>
        <w:ind w:left="356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70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852" w:hanging="1584"/>
      </w:pPr>
    </w:lvl>
  </w:abstractNum>
  <w:abstractNum w:abstractNumId="8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73BEE"/>
    <w:multiLevelType w:val="singleLevel"/>
    <w:tmpl w:val="726AE7BE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536A87"/>
    <w:multiLevelType w:val="hybridMultilevel"/>
    <w:tmpl w:val="351E1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2" w15:restartNumberingAfterBreak="0">
    <w:nsid w:val="37777F93"/>
    <w:multiLevelType w:val="hybridMultilevel"/>
    <w:tmpl w:val="B2BC59D8"/>
    <w:lvl w:ilvl="0" w:tplc="365CE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FC2702"/>
    <w:multiLevelType w:val="hybridMultilevel"/>
    <w:tmpl w:val="252096BA"/>
    <w:lvl w:ilvl="0" w:tplc="3AC4E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85AEA"/>
    <w:multiLevelType w:val="hybridMultilevel"/>
    <w:tmpl w:val="13BC8592"/>
    <w:lvl w:ilvl="0" w:tplc="300E19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6624C6"/>
    <w:multiLevelType w:val="hybridMultilevel"/>
    <w:tmpl w:val="3AF4F9EC"/>
    <w:lvl w:ilvl="0" w:tplc="684C816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AA633C"/>
    <w:multiLevelType w:val="hybridMultilevel"/>
    <w:tmpl w:val="A6C6A600"/>
    <w:lvl w:ilvl="0" w:tplc="300E19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726DB"/>
    <w:multiLevelType w:val="singleLevel"/>
    <w:tmpl w:val="01F0A2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E746EA1"/>
    <w:multiLevelType w:val="hybridMultilevel"/>
    <w:tmpl w:val="B3D2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41F47"/>
    <w:multiLevelType w:val="singleLevel"/>
    <w:tmpl w:val="4EA2045A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33" w15:restartNumberingAfterBreak="0">
    <w:nsid w:val="53FD4D3E"/>
    <w:multiLevelType w:val="hybridMultilevel"/>
    <w:tmpl w:val="07FEF246"/>
    <w:lvl w:ilvl="0" w:tplc="0DE44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F13E32"/>
    <w:multiLevelType w:val="hybridMultilevel"/>
    <w:tmpl w:val="09D241FE"/>
    <w:lvl w:ilvl="0" w:tplc="8F38E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EB5566"/>
    <w:multiLevelType w:val="hybridMultilevel"/>
    <w:tmpl w:val="66EAB8B6"/>
    <w:lvl w:ilvl="0" w:tplc="16180B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40D28"/>
    <w:multiLevelType w:val="hybridMultilevel"/>
    <w:tmpl w:val="C49E59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41"/>
  </w:num>
  <w:num w:numId="4">
    <w:abstractNumId w:val="9"/>
  </w:num>
  <w:num w:numId="5">
    <w:abstractNumId w:val="13"/>
  </w:num>
  <w:num w:numId="6">
    <w:abstractNumId w:val="28"/>
  </w:num>
  <w:num w:numId="7">
    <w:abstractNumId w:val="42"/>
  </w:num>
  <w:num w:numId="8">
    <w:abstractNumId w:val="20"/>
  </w:num>
  <w:num w:numId="9">
    <w:abstractNumId w:val="44"/>
  </w:num>
  <w:num w:numId="10">
    <w:abstractNumId w:val="31"/>
  </w:num>
  <w:num w:numId="11">
    <w:abstractNumId w:val="37"/>
  </w:num>
  <w:num w:numId="12">
    <w:abstractNumId w:val="16"/>
  </w:num>
  <w:num w:numId="13">
    <w:abstractNumId w:val="6"/>
  </w:num>
  <w:num w:numId="14">
    <w:abstractNumId w:val="21"/>
  </w:num>
  <w:num w:numId="15">
    <w:abstractNumId w:val="43"/>
  </w:num>
  <w:num w:numId="16">
    <w:abstractNumId w:val="14"/>
  </w:num>
  <w:num w:numId="17">
    <w:abstractNumId w:val="3"/>
  </w:num>
  <w:num w:numId="18">
    <w:abstractNumId w:val="2"/>
  </w:num>
  <w:num w:numId="19">
    <w:abstractNumId w:val="36"/>
  </w:num>
  <w:num w:numId="20">
    <w:abstractNumId w:val="8"/>
  </w:num>
  <w:num w:numId="21">
    <w:abstractNumId w:val="27"/>
  </w:num>
  <w:num w:numId="22">
    <w:abstractNumId w:val="15"/>
  </w:num>
  <w:num w:numId="23">
    <w:abstractNumId w:val="12"/>
  </w:num>
  <w:num w:numId="24">
    <w:abstractNumId w:val="5"/>
  </w:num>
  <w:num w:numId="25">
    <w:abstractNumId w:val="7"/>
  </w:num>
  <w:num w:numId="26">
    <w:abstractNumId w:val="33"/>
  </w:num>
  <w:num w:numId="27">
    <w:abstractNumId w:val="38"/>
  </w:num>
  <w:num w:numId="28">
    <w:abstractNumId w:val="34"/>
  </w:num>
  <w:num w:numId="29">
    <w:abstractNumId w:val="17"/>
  </w:num>
  <w:num w:numId="30">
    <w:abstractNumId w:val="11"/>
  </w:num>
  <w:num w:numId="31">
    <w:abstractNumId w:val="39"/>
  </w:num>
  <w:num w:numId="32">
    <w:abstractNumId w:val="24"/>
  </w:num>
  <w:num w:numId="33">
    <w:abstractNumId w:val="32"/>
    <w:lvlOverride w:ilvl="0">
      <w:startOverride w:val="2"/>
    </w:lvlOverride>
  </w:num>
  <w:num w:numId="34">
    <w:abstractNumId w:val="10"/>
    <w:lvlOverride w:ilvl="0">
      <w:startOverride w:val="2"/>
    </w:lvlOverride>
  </w:num>
  <w:num w:numId="35">
    <w:abstractNumId w:val="18"/>
  </w:num>
  <w:num w:numId="36">
    <w:abstractNumId w:val="29"/>
  </w:num>
  <w:num w:numId="37">
    <w:abstractNumId w:val="30"/>
  </w:num>
  <w:num w:numId="38">
    <w:abstractNumId w:val="4"/>
  </w:num>
  <w:num w:numId="39">
    <w:abstractNumId w:val="23"/>
  </w:num>
  <w:num w:numId="40">
    <w:abstractNumId w:val="26"/>
  </w:num>
  <w:num w:numId="41">
    <w:abstractNumId w:val="35"/>
  </w:num>
  <w:num w:numId="42">
    <w:abstractNumId w:val="25"/>
  </w:num>
  <w:num w:numId="43">
    <w:abstractNumId w:val="40"/>
  </w:num>
  <w:num w:numId="44">
    <w:abstractNumId w:val="22"/>
  </w:num>
  <w:num w:numId="45">
    <w:abstractNumId w:val="0"/>
  </w:num>
  <w:num w:numId="46">
    <w:abstractNumId w:val="45"/>
  </w:num>
  <w:num w:numId="4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6E54"/>
    <w:rsid w:val="00031C8E"/>
    <w:rsid w:val="00033A90"/>
    <w:rsid w:val="000340DA"/>
    <w:rsid w:val="00034C91"/>
    <w:rsid w:val="00036E6D"/>
    <w:rsid w:val="000503A7"/>
    <w:rsid w:val="000567AE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9336F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914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1EF"/>
    <w:rsid w:val="00113A89"/>
    <w:rsid w:val="00116205"/>
    <w:rsid w:val="00116767"/>
    <w:rsid w:val="0012417B"/>
    <w:rsid w:val="00127BEA"/>
    <w:rsid w:val="00134EFF"/>
    <w:rsid w:val="001442AB"/>
    <w:rsid w:val="00154F6E"/>
    <w:rsid w:val="00156EFE"/>
    <w:rsid w:val="001610EA"/>
    <w:rsid w:val="0016132B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40DC"/>
    <w:rsid w:val="00195BC7"/>
    <w:rsid w:val="0019640E"/>
    <w:rsid w:val="001A0E6B"/>
    <w:rsid w:val="001A2C5D"/>
    <w:rsid w:val="001A3642"/>
    <w:rsid w:val="001A5E43"/>
    <w:rsid w:val="001A7EA7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0DB3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52761"/>
    <w:rsid w:val="002600F0"/>
    <w:rsid w:val="00261705"/>
    <w:rsid w:val="00267FAF"/>
    <w:rsid w:val="00271152"/>
    <w:rsid w:val="0027338A"/>
    <w:rsid w:val="0027427D"/>
    <w:rsid w:val="00275A25"/>
    <w:rsid w:val="00276276"/>
    <w:rsid w:val="002765EA"/>
    <w:rsid w:val="00280FF8"/>
    <w:rsid w:val="002813A9"/>
    <w:rsid w:val="002826DD"/>
    <w:rsid w:val="0029692F"/>
    <w:rsid w:val="002A6EB6"/>
    <w:rsid w:val="002A754D"/>
    <w:rsid w:val="002B07FB"/>
    <w:rsid w:val="002B1CB7"/>
    <w:rsid w:val="002C466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E5DE8"/>
    <w:rsid w:val="003004B2"/>
    <w:rsid w:val="00301235"/>
    <w:rsid w:val="0030153B"/>
    <w:rsid w:val="00305373"/>
    <w:rsid w:val="00312D66"/>
    <w:rsid w:val="0031388E"/>
    <w:rsid w:val="00316EF4"/>
    <w:rsid w:val="00320DBC"/>
    <w:rsid w:val="0032282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77099"/>
    <w:rsid w:val="003860A6"/>
    <w:rsid w:val="0039193B"/>
    <w:rsid w:val="0039470E"/>
    <w:rsid w:val="00395CA0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0CBE"/>
    <w:rsid w:val="003F198E"/>
    <w:rsid w:val="003F36A4"/>
    <w:rsid w:val="003F50A6"/>
    <w:rsid w:val="003F5B95"/>
    <w:rsid w:val="003F76D9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423B"/>
    <w:rsid w:val="00496D01"/>
    <w:rsid w:val="004A1604"/>
    <w:rsid w:val="004A1CA1"/>
    <w:rsid w:val="004A2181"/>
    <w:rsid w:val="004A2309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251"/>
    <w:rsid w:val="004E1DA8"/>
    <w:rsid w:val="004F0B1D"/>
    <w:rsid w:val="004F61E8"/>
    <w:rsid w:val="00501D29"/>
    <w:rsid w:val="005032C2"/>
    <w:rsid w:val="00503B77"/>
    <w:rsid w:val="00503FB8"/>
    <w:rsid w:val="005104F2"/>
    <w:rsid w:val="00510885"/>
    <w:rsid w:val="00510C81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0ABB"/>
    <w:rsid w:val="005831EE"/>
    <w:rsid w:val="00584B1B"/>
    <w:rsid w:val="00590D8C"/>
    <w:rsid w:val="005931B1"/>
    <w:rsid w:val="005947B6"/>
    <w:rsid w:val="00596447"/>
    <w:rsid w:val="005A55F1"/>
    <w:rsid w:val="005A710F"/>
    <w:rsid w:val="005B6466"/>
    <w:rsid w:val="005C0870"/>
    <w:rsid w:val="005D360A"/>
    <w:rsid w:val="005D49AD"/>
    <w:rsid w:val="005E559F"/>
    <w:rsid w:val="005E6B74"/>
    <w:rsid w:val="005F2A95"/>
    <w:rsid w:val="005F4E3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3598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0828"/>
    <w:rsid w:val="00724C7A"/>
    <w:rsid w:val="00726FF4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3EBF"/>
    <w:rsid w:val="007C6538"/>
    <w:rsid w:val="007D76EC"/>
    <w:rsid w:val="007E03E9"/>
    <w:rsid w:val="007E1849"/>
    <w:rsid w:val="007E2D27"/>
    <w:rsid w:val="007E3C3E"/>
    <w:rsid w:val="007E5CC0"/>
    <w:rsid w:val="007E7CCB"/>
    <w:rsid w:val="007F1D17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1331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66F0"/>
    <w:rsid w:val="00897534"/>
    <w:rsid w:val="00897611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37A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0FA6"/>
    <w:rsid w:val="00993012"/>
    <w:rsid w:val="00993913"/>
    <w:rsid w:val="009941FA"/>
    <w:rsid w:val="00995F71"/>
    <w:rsid w:val="0099717E"/>
    <w:rsid w:val="009A22DF"/>
    <w:rsid w:val="009A3616"/>
    <w:rsid w:val="009B0975"/>
    <w:rsid w:val="009B0CD7"/>
    <w:rsid w:val="009B4898"/>
    <w:rsid w:val="009B4B84"/>
    <w:rsid w:val="009B5830"/>
    <w:rsid w:val="009B6A0A"/>
    <w:rsid w:val="009C20C7"/>
    <w:rsid w:val="009C2DD0"/>
    <w:rsid w:val="009C4C47"/>
    <w:rsid w:val="009D4412"/>
    <w:rsid w:val="009E0713"/>
    <w:rsid w:val="009E3531"/>
    <w:rsid w:val="009E4088"/>
    <w:rsid w:val="009F0AA4"/>
    <w:rsid w:val="009F6779"/>
    <w:rsid w:val="009F77C9"/>
    <w:rsid w:val="009F7C66"/>
    <w:rsid w:val="009F7F2E"/>
    <w:rsid w:val="00A012C9"/>
    <w:rsid w:val="00A04983"/>
    <w:rsid w:val="00A36EF7"/>
    <w:rsid w:val="00A421EC"/>
    <w:rsid w:val="00A432E0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66FB"/>
    <w:rsid w:val="00AB7FEE"/>
    <w:rsid w:val="00AD0165"/>
    <w:rsid w:val="00AD1964"/>
    <w:rsid w:val="00AD7762"/>
    <w:rsid w:val="00AE237C"/>
    <w:rsid w:val="00AE6B2A"/>
    <w:rsid w:val="00AF574D"/>
    <w:rsid w:val="00AF648E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4BCA"/>
    <w:rsid w:val="00B65128"/>
    <w:rsid w:val="00B66B5C"/>
    <w:rsid w:val="00B7012E"/>
    <w:rsid w:val="00B71F5C"/>
    <w:rsid w:val="00B774FC"/>
    <w:rsid w:val="00B77BEE"/>
    <w:rsid w:val="00B852C1"/>
    <w:rsid w:val="00B8580C"/>
    <w:rsid w:val="00B933A4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165C"/>
    <w:rsid w:val="00C050FE"/>
    <w:rsid w:val="00C053F6"/>
    <w:rsid w:val="00C11540"/>
    <w:rsid w:val="00C13552"/>
    <w:rsid w:val="00C1777D"/>
    <w:rsid w:val="00C202EB"/>
    <w:rsid w:val="00C21D1D"/>
    <w:rsid w:val="00C23653"/>
    <w:rsid w:val="00C26B2A"/>
    <w:rsid w:val="00C31E9C"/>
    <w:rsid w:val="00C34CAE"/>
    <w:rsid w:val="00C36C78"/>
    <w:rsid w:val="00C41320"/>
    <w:rsid w:val="00C42B81"/>
    <w:rsid w:val="00C45E40"/>
    <w:rsid w:val="00C46508"/>
    <w:rsid w:val="00C5761A"/>
    <w:rsid w:val="00C64234"/>
    <w:rsid w:val="00C66A6C"/>
    <w:rsid w:val="00C70CCA"/>
    <w:rsid w:val="00C70E4D"/>
    <w:rsid w:val="00C77AF7"/>
    <w:rsid w:val="00C832AC"/>
    <w:rsid w:val="00C83482"/>
    <w:rsid w:val="00C91F20"/>
    <w:rsid w:val="00C9219B"/>
    <w:rsid w:val="00C922B3"/>
    <w:rsid w:val="00C93F6B"/>
    <w:rsid w:val="00C94B41"/>
    <w:rsid w:val="00CA1D0D"/>
    <w:rsid w:val="00CA40A7"/>
    <w:rsid w:val="00CA469C"/>
    <w:rsid w:val="00CA5360"/>
    <w:rsid w:val="00CB0B83"/>
    <w:rsid w:val="00CB28E5"/>
    <w:rsid w:val="00CB2B93"/>
    <w:rsid w:val="00CB53F2"/>
    <w:rsid w:val="00CB5FFF"/>
    <w:rsid w:val="00CC0B7E"/>
    <w:rsid w:val="00CC3BE9"/>
    <w:rsid w:val="00CC501D"/>
    <w:rsid w:val="00CD4DBD"/>
    <w:rsid w:val="00CD6378"/>
    <w:rsid w:val="00CD698A"/>
    <w:rsid w:val="00CD7A74"/>
    <w:rsid w:val="00CE0020"/>
    <w:rsid w:val="00CE4B6A"/>
    <w:rsid w:val="00CF2854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46FC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CBC"/>
    <w:rsid w:val="00DD3D1B"/>
    <w:rsid w:val="00DD7AA9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22A6"/>
    <w:rsid w:val="00E14C64"/>
    <w:rsid w:val="00E17016"/>
    <w:rsid w:val="00E2075D"/>
    <w:rsid w:val="00E23793"/>
    <w:rsid w:val="00E27231"/>
    <w:rsid w:val="00E31216"/>
    <w:rsid w:val="00E31C11"/>
    <w:rsid w:val="00E31EB4"/>
    <w:rsid w:val="00E32AF3"/>
    <w:rsid w:val="00E32DFC"/>
    <w:rsid w:val="00E36FE2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0896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56D8A"/>
    <w:rsid w:val="00F75363"/>
    <w:rsid w:val="00F8237E"/>
    <w:rsid w:val="00F830EE"/>
    <w:rsid w:val="00F96F0E"/>
    <w:rsid w:val="00FA091D"/>
    <w:rsid w:val="00FA6362"/>
    <w:rsid w:val="00FB0B9C"/>
    <w:rsid w:val="00FB1520"/>
    <w:rsid w:val="00FB21BE"/>
    <w:rsid w:val="00FB37FD"/>
    <w:rsid w:val="00FB3ED7"/>
    <w:rsid w:val="00FB7599"/>
    <w:rsid w:val="00FC14AA"/>
    <w:rsid w:val="00FC1978"/>
    <w:rsid w:val="00FC3516"/>
    <w:rsid w:val="00FC4D11"/>
    <w:rsid w:val="00FC7618"/>
    <w:rsid w:val="00FD1FF4"/>
    <w:rsid w:val="00FD3D3C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2B1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D26A-A130-4551-B112-C8EA80F7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4</cp:revision>
  <cp:lastPrinted>2016-04-14T13:15:00Z</cp:lastPrinted>
  <dcterms:created xsi:type="dcterms:W3CDTF">2017-04-04T08:30:00Z</dcterms:created>
  <dcterms:modified xsi:type="dcterms:W3CDTF">2017-04-04T08:47:00Z</dcterms:modified>
</cp:coreProperties>
</file>